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20" w:lineRule="atLeast"/>
        <w:ind w:left="0" w:right="0" w:firstLine="420"/>
        <w:jc w:val="center"/>
        <w:rPr>
          <w:rFonts w:ascii="微软雅黑" w:hAnsi="微软雅黑" w:eastAsia="微软雅黑" w:cs="微软雅黑"/>
          <w:b w:val="0"/>
          <w:i w:val="0"/>
          <w:caps w:val="0"/>
          <w:color w:val="444444"/>
          <w:spacing w:val="0"/>
          <w:sz w:val="36"/>
          <w:szCs w:val="36"/>
        </w:rPr>
      </w:pPr>
      <w:r>
        <w:rPr>
          <w:rStyle w:val="4"/>
          <w:rFonts w:hint="eastAsia" w:ascii="宋体" w:hAnsi="宋体" w:eastAsia="宋体" w:cs="宋体"/>
          <w:b/>
          <w:i w:val="0"/>
          <w:caps w:val="0"/>
          <w:color w:val="000000"/>
          <w:spacing w:val="0"/>
          <w:sz w:val="36"/>
          <w:szCs w:val="36"/>
          <w:shd w:val="clear" w:fill="FFFFFF"/>
        </w:rPr>
        <w:t>报价要求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 w:line="495" w:lineRule="atLeast"/>
        <w:ind w:left="0" w:right="0" w:firstLine="465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shd w:val="clear" w:fill="FFFFFF"/>
        </w:rPr>
        <w:t>常用维修项目报价：各投标人根据</w:t>
      </w:r>
      <w:r>
        <w:rPr>
          <w:rStyle w:val="4"/>
          <w:rFonts w:hint="eastAsia" w:ascii="宋体" w:hAnsi="宋体" w:eastAsia="宋体" w:cs="宋体"/>
          <w:b/>
          <w:i w:val="0"/>
          <w:caps w:val="0"/>
          <w:color w:val="444444"/>
          <w:spacing w:val="0"/>
          <w:sz w:val="24"/>
          <w:szCs w:val="24"/>
          <w:shd w:val="clear" w:fill="FFFFFF"/>
        </w:rPr>
        <w:t>“常用维修项目报价”、“常用单条新胎报价清单”</w:t>
      </w:r>
      <w:r>
        <w:rPr>
          <w:rStyle w:val="4"/>
          <w:rFonts w:hint="eastAsia" w:ascii="宋体" w:hAnsi="宋体" w:eastAsia="宋体" w:cs="宋体"/>
          <w:b w:val="0"/>
          <w:bCs/>
          <w:i w:val="0"/>
          <w:caps w:val="0"/>
          <w:color w:val="444444"/>
          <w:spacing w:val="0"/>
          <w:sz w:val="24"/>
          <w:szCs w:val="24"/>
          <w:shd w:val="clear" w:fill="FFFFFF"/>
          <w:lang w:eastAsia="zh-CN"/>
        </w:rPr>
        <w:t>的价格给出</w:t>
      </w:r>
      <w:r>
        <w:rPr>
          <w:rStyle w:val="4"/>
          <w:rFonts w:hint="eastAsia" w:ascii="宋体" w:hAnsi="宋体" w:eastAsia="宋体" w:cs="宋体"/>
          <w:b/>
          <w:i w:val="0"/>
          <w:caps w:val="0"/>
          <w:color w:val="444444"/>
          <w:spacing w:val="0"/>
          <w:sz w:val="24"/>
          <w:szCs w:val="24"/>
          <w:shd w:val="clear" w:fill="FFFFFF"/>
          <w:lang w:eastAsia="zh-CN"/>
        </w:rPr>
        <w:t>投标下浮率</w:t>
      </w: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shd w:val="clear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shd w:val="clear" w:fill="FFFFFF"/>
        </w:rPr>
        <w:t>采购人在实际购买中，将在此报价上依据投标下浮率进行下浮</w:t>
      </w: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shd w:val="clear" w:fill="FFFFFF"/>
          <w:lang w:eastAsia="zh-CN"/>
        </w:rPr>
        <w:t>。</w:t>
      </w: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shd w:val="clear" w:fill="FFFFFF"/>
        </w:rPr>
        <w:t>各投标人根据自身情况给出投标下浮率，开标一览表填写具体投标报价，在可备注的地方备注投标下浮率。</w:t>
      </w:r>
      <w:r>
        <w:rPr>
          <w:rStyle w:val="4"/>
          <w:rFonts w:hint="eastAsia" w:ascii="宋体" w:hAnsi="宋体" w:eastAsia="宋体" w:cs="宋体"/>
          <w:b/>
          <w:i w:val="0"/>
          <w:caps w:val="0"/>
          <w:color w:val="444444"/>
          <w:spacing w:val="0"/>
          <w:sz w:val="24"/>
          <w:szCs w:val="24"/>
          <w:shd w:val="clear" w:fill="7F7F7F"/>
        </w:rPr>
        <w:t>本项目下浮率应≥</w:t>
      </w:r>
      <w:r>
        <w:rPr>
          <w:rStyle w:val="4"/>
          <w:rFonts w:hint="eastAsia" w:ascii="宋体" w:hAnsi="宋体" w:eastAsia="宋体" w:cs="宋体"/>
          <w:b/>
          <w:i w:val="0"/>
          <w:caps w:val="0"/>
          <w:color w:val="444444"/>
          <w:spacing w:val="0"/>
          <w:sz w:val="24"/>
          <w:szCs w:val="24"/>
          <w:shd w:val="clear" w:fill="7F7F7F"/>
          <w:lang w:val="en-US" w:eastAsia="zh-CN"/>
        </w:rPr>
        <w:t>3</w:t>
      </w:r>
      <w:r>
        <w:rPr>
          <w:rStyle w:val="4"/>
          <w:rFonts w:hint="eastAsia" w:ascii="宋体" w:hAnsi="宋体" w:eastAsia="宋体" w:cs="宋体"/>
          <w:b/>
          <w:i w:val="0"/>
          <w:caps w:val="0"/>
          <w:color w:val="444444"/>
          <w:spacing w:val="0"/>
          <w:sz w:val="24"/>
          <w:szCs w:val="24"/>
          <w:shd w:val="clear" w:fill="7F7F7F"/>
        </w:rPr>
        <w:t>%，各投标人的报价下浮率&lt;</w:t>
      </w:r>
      <w:r>
        <w:rPr>
          <w:rStyle w:val="4"/>
          <w:rFonts w:hint="eastAsia" w:ascii="宋体" w:hAnsi="宋体" w:eastAsia="宋体" w:cs="宋体"/>
          <w:b/>
          <w:i w:val="0"/>
          <w:caps w:val="0"/>
          <w:color w:val="444444"/>
          <w:spacing w:val="0"/>
          <w:sz w:val="24"/>
          <w:szCs w:val="24"/>
          <w:shd w:val="clear" w:fill="7F7F7F"/>
          <w:lang w:val="en-US" w:eastAsia="zh-CN"/>
        </w:rPr>
        <w:t>3</w:t>
      </w:r>
      <w:r>
        <w:rPr>
          <w:rStyle w:val="4"/>
          <w:rFonts w:hint="eastAsia" w:ascii="宋体" w:hAnsi="宋体" w:eastAsia="宋体" w:cs="宋体"/>
          <w:b/>
          <w:i w:val="0"/>
          <w:caps w:val="0"/>
          <w:color w:val="444444"/>
          <w:spacing w:val="0"/>
          <w:sz w:val="24"/>
          <w:szCs w:val="24"/>
          <w:shd w:val="clear" w:fill="7F7F7F"/>
        </w:rPr>
        <w:t>%的，其报价视为无效报价。</w:t>
      </w: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shd w:val="clear" w:fill="FFFFFF"/>
        </w:rPr>
        <w:t>列入“常用维修项目报价”清单中的项目在结算时须按此下浮率进行下浮，未列入“常用维修项目报价”清单中的维修项目（不含配品配件），将根据市场价按此下浮率进行下浮。</w:t>
      </w:r>
    </w:p>
    <w:p>
      <w:pPr>
        <w:pStyle w:val="2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 w:line="495" w:lineRule="atLeast"/>
        <w:ind w:right="0" w:rightChars="0" w:firstLine="480" w:firstLineChars="20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shd w:val="clear" w:fill="FFFFFF"/>
        </w:rPr>
        <w:t>其他说明：采购人将不定期对车辆维修市场价进行调研，若发现中标人的产品下浮前价格高</w:t>
      </w:r>
      <w:bookmarkStart w:id="0" w:name="_GoBack"/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shd w:val="clear" w:fill="FFFFFF"/>
        </w:rPr>
        <w:t>于市场正常价，或配品配件价格高于市场合理价，则有权取消合同。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1" w:after="0" w:afterAutospacing="1" w:line="240" w:lineRule="auto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b/>
          <w:i w:val="0"/>
          <w:caps w:val="0"/>
          <w:color w:val="444444"/>
          <w:spacing w:val="0"/>
          <w:sz w:val="28"/>
          <w:szCs w:val="28"/>
          <w:shd w:val="clear" w:fill="FFFFFF"/>
        </w:rPr>
        <w:t>附表1： 常用维修项目报价清单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 w:line="360" w:lineRule="atLeast"/>
        <w:ind w:left="0" w:right="0" w:firstLine="420"/>
        <w:jc w:val="left"/>
        <w:rPr>
          <w:rFonts w:hint="eastAsia" w:ascii="微软雅黑" w:hAnsi="微软雅黑" w:eastAsia="微软雅黑" w:cs="微软雅黑"/>
          <w:b/>
          <w:bCs/>
          <w:i w:val="0"/>
          <w:caps w:val="0"/>
          <w:color w:val="444444"/>
          <w:spacing w:val="0"/>
          <w:sz w:val="24"/>
          <w:szCs w:val="24"/>
        </w:rPr>
      </w:pPr>
      <w:r>
        <w:rPr>
          <w:rFonts w:ascii="仿宋_GB2312" w:hAnsi="微软雅黑" w:eastAsia="仿宋_GB2312" w:cs="仿宋_GB2312"/>
          <w:b/>
          <w:bCs/>
          <w:i w:val="0"/>
          <w:caps w:val="0"/>
          <w:color w:val="444444"/>
          <w:spacing w:val="0"/>
          <w:sz w:val="24"/>
          <w:szCs w:val="24"/>
          <w:shd w:val="clear" w:fill="FFFFFF"/>
        </w:rPr>
        <w:t>以下报价以</w:t>
      </w:r>
      <w:r>
        <w:rPr>
          <w:rFonts w:hint="default" w:ascii="仿宋_GB2312" w:hAnsi="微软雅黑" w:eastAsia="仿宋_GB2312" w:cs="仿宋_GB2312"/>
          <w:b/>
          <w:bCs/>
          <w:i w:val="0"/>
          <w:caps w:val="0"/>
          <w:color w:val="444444"/>
          <w:spacing w:val="0"/>
          <w:sz w:val="24"/>
          <w:szCs w:val="24"/>
          <w:shd w:val="clear" w:fill="FFFFFF"/>
        </w:rPr>
        <w:t>5座国产轿车为报价基准。</w:t>
      </w:r>
    </w:p>
    <w:tbl>
      <w:tblPr>
        <w:tblStyle w:val="6"/>
        <w:tblW w:w="13072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9"/>
        <w:gridCol w:w="4575"/>
        <w:gridCol w:w="1365"/>
        <w:gridCol w:w="1229"/>
        <w:gridCol w:w="3309"/>
        <w:gridCol w:w="136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textAlignment w:val="top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222222"/>
                <w:spacing w:val="0"/>
                <w:sz w:val="24"/>
                <w:szCs w:val="24"/>
              </w:rPr>
            </w:pPr>
          </w:p>
        </w:tc>
        <w:tc>
          <w:tcPr>
            <w:tcW w:w="11843" w:type="dxa"/>
            <w:gridSpan w:val="5"/>
            <w:tcBorders>
              <w:top w:val="single" w:color="auto" w:sz="4" w:space="0"/>
              <w:left w:val="single" w:color="auto" w:sz="4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2535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Style w:val="4"/>
                <w:rFonts w:hint="eastAsia" w:ascii="宋体" w:hAnsi="宋体" w:eastAsia="宋体" w:cs="宋体"/>
                <w:b/>
                <w:i w:val="0"/>
                <w:caps w:val="0"/>
                <w:color w:val="444444"/>
                <w:spacing w:val="0"/>
                <w:sz w:val="28"/>
                <w:szCs w:val="28"/>
              </w:rPr>
              <w:t>常用维修项目报价清单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2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序号</w:t>
            </w:r>
          </w:p>
        </w:tc>
        <w:tc>
          <w:tcPr>
            <w:tcW w:w="45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项目</w:t>
            </w:r>
          </w:p>
        </w:tc>
        <w:tc>
          <w:tcPr>
            <w:tcW w:w="136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工时</w:t>
            </w:r>
          </w:p>
        </w:tc>
        <w:tc>
          <w:tcPr>
            <w:tcW w:w="122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序号</w:t>
            </w:r>
          </w:p>
        </w:tc>
        <w:tc>
          <w:tcPr>
            <w:tcW w:w="3309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项目</w:t>
            </w: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工时(元)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三清保养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39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更换机盖撑杆</w:t>
            </w:r>
          </w:p>
        </w:tc>
        <w:tc>
          <w:tcPr>
            <w:tcW w:w="13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2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更换挡泥板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40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更换半轴总成</w:t>
            </w:r>
          </w:p>
        </w:tc>
        <w:tc>
          <w:tcPr>
            <w:tcW w:w="13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3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洗车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41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更换中控电机</w:t>
            </w:r>
          </w:p>
        </w:tc>
        <w:tc>
          <w:tcPr>
            <w:tcW w:w="13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4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全车安全检查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42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更换钢板套（ 个）</w:t>
            </w:r>
          </w:p>
        </w:tc>
        <w:tc>
          <w:tcPr>
            <w:tcW w:w="13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5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更换升降器电机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43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更换碳灌</w:t>
            </w:r>
          </w:p>
        </w:tc>
        <w:tc>
          <w:tcPr>
            <w:tcW w:w="13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120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更换防冻液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44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更换碳灌电磁阀</w:t>
            </w:r>
          </w:p>
        </w:tc>
        <w:tc>
          <w:tcPr>
            <w:tcW w:w="13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7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更换喇叭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45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更换分电器及密封圈</w:t>
            </w:r>
          </w:p>
        </w:tc>
        <w:tc>
          <w:tcPr>
            <w:tcW w:w="13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更换汽油格(油箱内)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46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更换发动机</w:t>
            </w:r>
          </w:p>
        </w:tc>
        <w:tc>
          <w:tcPr>
            <w:tcW w:w="13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1000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9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更换组合开关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47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更换干燥瓶</w:t>
            </w:r>
          </w:p>
        </w:tc>
        <w:tc>
          <w:tcPr>
            <w:tcW w:w="13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40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10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更换水箱胶垫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30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48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检修及拆装排气管</w:t>
            </w:r>
          </w:p>
        </w:tc>
        <w:tc>
          <w:tcPr>
            <w:tcW w:w="13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11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更换水箱上水管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30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49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更换点火线圈</w:t>
            </w:r>
          </w:p>
        </w:tc>
        <w:tc>
          <w:tcPr>
            <w:tcW w:w="13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12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更换水箱下水管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30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50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更换高压线</w:t>
            </w:r>
          </w:p>
        </w:tc>
        <w:tc>
          <w:tcPr>
            <w:tcW w:w="13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13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更换机油感应塞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40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51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更换发电机</w:t>
            </w:r>
          </w:p>
        </w:tc>
        <w:tc>
          <w:tcPr>
            <w:tcW w:w="13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14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拆洗刹车油壶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52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更换油泵密封圈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30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15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四轮保养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120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53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更换油泵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180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16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更换外拉手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54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更换车门锁 （个）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17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更换玻璃泥槽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55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更换水泵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180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18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更换暖风水箱（不含拆装仪表台）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56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拆装刹车盘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19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更换蒸发箱（不含加氨拆装仪表台）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57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更换助力泵皮带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30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20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更换车门锁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58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更换空调皮带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30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21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更换后空调面板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180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59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更换空调继电器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30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22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更换空调泵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180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60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空调加氨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50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23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更换空气温度传感器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61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更换空调压缩机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120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24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内室清洗(七座以下)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280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62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清洗水箱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120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25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内室清洗(七座以上)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380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63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更换排气管尾段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26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更换后尾灯总成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30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64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更换风扇电机 （个）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27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更换龙门架（拆装前杠）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280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65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更换进气管密封圈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28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清洗怠速阀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70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66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取加工螺丝 （个）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25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29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清洗节气门总成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120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67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更换水位开关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40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30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更换安全带座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68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更换暖风操纳机构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31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更换汽油管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30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69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更换雨刮喷水电机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40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32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更换大灯插头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30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70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更换顶棚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280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33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更换助力高压管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71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更换雨刮水管及三通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40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34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更换分缸线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40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72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拆装缸盖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200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35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更换暖风开关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30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73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更换废气阀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36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发动机大修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1800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74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发动机二保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1000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37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更换电瓶头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15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75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四轮动平衡（条）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20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38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更换避震(根)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76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更换发电机皮带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30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77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更换发电机吊胶（个）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30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106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更换电子扇总成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78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更换副班太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107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更换半轴外球笼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79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更换氙气灯及安定器</w:t>
            </w:r>
          </w:p>
        </w:tc>
        <w:tc>
          <w:tcPr>
            <w:tcW w:w="1365" w:type="dxa"/>
            <w:vMerge w:val="restart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100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108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更换前机上盖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80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拆装大灯</w:t>
            </w:r>
          </w:p>
        </w:tc>
        <w:tc>
          <w:tcPr>
            <w:tcW w:w="1365" w:type="dxa"/>
            <w:vMerge w:val="continue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222222"/>
                <w:spacing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109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更换空调低压管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81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更换全车水管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280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110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更换汽油泵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82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更换发电机皮带及过渡轮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111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更换平衡杆胶套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30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83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更换点火开关总成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112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更换元宝梁胶套（ 个）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84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更换鼓风机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113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更换上臂球头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85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更换油底壳垫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120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114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更换离合器总泵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86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更换离合器线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115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更换离合器分泵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87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更换拉杆球头（ 个）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116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更换刹车真空管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40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88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拆装变速箱更换离合器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280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117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更换轮芯轴承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89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更换刹车总泵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118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更换助力泵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120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90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更换平面轴承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119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更换下臂缓冲块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30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91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更换水箱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120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更换下臂球头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92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更换排气管吊耳 （个）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121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更换气囊游丝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100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93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更换转向开关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122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变速箱大修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800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94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更换温控开关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30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123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更换升降器开关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50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95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更换下弯臂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124</w:t>
            </w: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更换助力泵皮带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30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29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96</w:t>
            </w:r>
          </w:p>
        </w:tc>
        <w:tc>
          <w:tcPr>
            <w:tcW w:w="4575" w:type="dxa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更换空调皮带</w:t>
            </w:r>
          </w:p>
        </w:tc>
        <w:tc>
          <w:tcPr>
            <w:tcW w:w="1365" w:type="dxa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30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125</w:t>
            </w:r>
          </w:p>
        </w:tc>
        <w:tc>
          <w:tcPr>
            <w:tcW w:w="3309" w:type="dxa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拆装仪表台</w:t>
            </w:r>
          </w:p>
        </w:tc>
        <w:tc>
          <w:tcPr>
            <w:tcW w:w="1365" w:type="dxa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380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29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97</w:t>
            </w:r>
          </w:p>
        </w:tc>
        <w:tc>
          <w:tcPr>
            <w:tcW w:w="457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更换玻璃升降器</w:t>
            </w:r>
          </w:p>
        </w:tc>
        <w:tc>
          <w:tcPr>
            <w:tcW w:w="136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126</w:t>
            </w:r>
          </w:p>
        </w:tc>
        <w:tc>
          <w:tcPr>
            <w:tcW w:w="33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拆装清洗三元催化</w:t>
            </w:r>
          </w:p>
        </w:tc>
        <w:tc>
          <w:tcPr>
            <w:tcW w:w="136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180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29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98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清洗喷油嘴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120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127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清洗空调风道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29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99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清洗冷凝器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128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刹车盘抛平面（个）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29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100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更换刹车油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129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更换助力油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29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101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更换变速箱油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130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更换后桥油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29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102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更换前刹车片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131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更换后刹车片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60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29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103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拆洗进气支管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120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132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空调检漏及加氨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180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104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更换高压管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133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更换火花塞（个）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29" w:type="dxa"/>
            <w:tcBorders>
              <w:top w:val="nil"/>
              <w:left w:val="single" w:color="auto" w:sz="6" w:space="0"/>
              <w:bottom w:val="outset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105</w:t>
            </w:r>
          </w:p>
        </w:tc>
        <w:tc>
          <w:tcPr>
            <w:tcW w:w="45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更换气门室盖垫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80</w:t>
            </w:r>
          </w:p>
        </w:tc>
        <w:tc>
          <w:tcPr>
            <w:tcW w:w="122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21"/>
                <w:szCs w:val="21"/>
              </w:rPr>
              <w:t>134</w:t>
            </w:r>
          </w:p>
        </w:tc>
        <w:tc>
          <w:tcPr>
            <w:tcW w:w="330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textAlignment w:val="top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222222"/>
                <w:spacing w:val="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textAlignment w:val="top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222222"/>
                <w:spacing w:val="0"/>
                <w:sz w:val="24"/>
                <w:szCs w:val="24"/>
              </w:rPr>
            </w:pP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 w:line="435" w:lineRule="atLeast"/>
        <w:ind w:left="0" w:right="0" w:firstLine="60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shd w:val="clear" w:fill="FFFFFF"/>
        </w:rPr>
        <w:t>注：1、其它类型车辆的维修工时费参照本报价表；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 w:line="435" w:lineRule="atLeast"/>
        <w:ind w:left="0" w:right="0" w:firstLine="48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shd w:val="clear" w:fill="FFFFFF"/>
        </w:rPr>
        <w:t>    2、维修项目不在本报价范围内工时费参照市场行情协商定价。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 w:line="435" w:lineRule="atLeast"/>
        <w:ind w:left="0" w:righ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 w:line="435" w:lineRule="atLeast"/>
        <w:ind w:left="0" w:righ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 w:line="435" w:lineRule="atLeast"/>
        <w:ind w:left="0" w:righ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 w:line="435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t> </w:t>
      </w:r>
    </w:p>
    <w:tbl>
      <w:tblPr>
        <w:tblStyle w:val="6"/>
        <w:tblW w:w="13075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9"/>
        <w:gridCol w:w="1582"/>
        <w:gridCol w:w="1012"/>
        <w:gridCol w:w="1012"/>
        <w:gridCol w:w="1012"/>
        <w:gridCol w:w="1012"/>
        <w:gridCol w:w="1012"/>
        <w:gridCol w:w="1012"/>
        <w:gridCol w:w="1012"/>
        <w:gridCol w:w="335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3075" w:type="dxa"/>
            <w:gridSpan w:val="10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435" w:lineRule="atLeast"/>
              <w:ind w:left="0" w:right="0" w:firstLine="420"/>
              <w:jc w:val="left"/>
              <w:rPr>
                <w:b w:val="0"/>
                <w:color w:val="444444"/>
                <w:sz w:val="24"/>
                <w:szCs w:val="24"/>
              </w:rPr>
            </w:pPr>
            <w:r>
              <w:rPr>
                <w:rStyle w:val="4"/>
                <w:rFonts w:hint="eastAsia" w:ascii="宋体" w:hAnsi="宋体" w:eastAsia="宋体" w:cs="宋体"/>
                <w:b/>
                <w:i w:val="0"/>
                <w:caps w:val="0"/>
                <w:color w:val="444444"/>
                <w:spacing w:val="0"/>
                <w:sz w:val="24"/>
                <w:szCs w:val="24"/>
              </w:rPr>
              <w:t>附表2.单条新胎报价清单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Style w:val="4"/>
                <w:rFonts w:hint="eastAsia" w:ascii="宋体" w:hAnsi="宋体" w:eastAsia="宋体" w:cs="宋体"/>
                <w:b/>
                <w:i w:val="0"/>
                <w:caps w:val="0"/>
                <w:color w:val="444444"/>
                <w:spacing w:val="0"/>
                <w:sz w:val="24"/>
                <w:szCs w:val="24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Style w:val="4"/>
                <w:rFonts w:hint="eastAsia" w:ascii="宋体" w:hAnsi="宋体" w:eastAsia="宋体" w:cs="宋体"/>
                <w:b/>
                <w:i w:val="0"/>
                <w:caps w:val="0"/>
                <w:color w:val="444444"/>
                <w:spacing w:val="0"/>
                <w:sz w:val="24"/>
                <w:szCs w:val="24"/>
              </w:rPr>
              <w:t>常用单条新胎报价清单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" w:hRule="atLeast"/>
        </w:trPr>
        <w:tc>
          <w:tcPr>
            <w:tcW w:w="13075" w:type="dxa"/>
            <w:gridSpan w:val="10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right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6"/>
                <w:szCs w:val="16"/>
              </w:rPr>
              <w:t>单位：元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059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序号</w:t>
            </w:r>
          </w:p>
        </w:tc>
        <w:tc>
          <w:tcPr>
            <w:tcW w:w="1582" w:type="dxa"/>
            <w:vMerge w:val="restart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轮胎型号</w:t>
            </w:r>
          </w:p>
        </w:tc>
        <w:tc>
          <w:tcPr>
            <w:tcW w:w="101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正新</w:t>
            </w:r>
          </w:p>
        </w:tc>
        <w:tc>
          <w:tcPr>
            <w:tcW w:w="101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米其林</w:t>
            </w:r>
          </w:p>
        </w:tc>
        <w:tc>
          <w:tcPr>
            <w:tcW w:w="101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固特异</w:t>
            </w:r>
          </w:p>
        </w:tc>
        <w:tc>
          <w:tcPr>
            <w:tcW w:w="101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玛吉斯</w:t>
            </w:r>
          </w:p>
        </w:tc>
        <w:tc>
          <w:tcPr>
            <w:tcW w:w="101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佳通</w:t>
            </w:r>
          </w:p>
        </w:tc>
        <w:tc>
          <w:tcPr>
            <w:tcW w:w="101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邓禄普</w:t>
            </w:r>
          </w:p>
        </w:tc>
        <w:tc>
          <w:tcPr>
            <w:tcW w:w="101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马牌</w:t>
            </w:r>
          </w:p>
        </w:tc>
        <w:tc>
          <w:tcPr>
            <w:tcW w:w="33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普利斯通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059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222222"/>
                <w:spacing w:val="0"/>
                <w:sz w:val="24"/>
                <w:szCs w:val="24"/>
              </w:rPr>
            </w:pPr>
          </w:p>
        </w:tc>
        <w:tc>
          <w:tcPr>
            <w:tcW w:w="1582" w:type="dxa"/>
            <w:vMerge w:val="continue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222222"/>
                <w:spacing w:val="0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8"/>
                <w:szCs w:val="18"/>
              </w:rPr>
              <w:t>基准价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8"/>
                <w:szCs w:val="18"/>
              </w:rPr>
              <w:t>基准价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8"/>
                <w:szCs w:val="18"/>
              </w:rPr>
              <w:t>基准价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8"/>
                <w:szCs w:val="18"/>
              </w:rPr>
              <w:t>基准价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8"/>
                <w:szCs w:val="18"/>
              </w:rPr>
              <w:t>基准价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8"/>
                <w:szCs w:val="18"/>
              </w:rPr>
              <w:t>基准价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8"/>
                <w:szCs w:val="18"/>
              </w:rPr>
              <w:t>基准价</w:t>
            </w:r>
          </w:p>
        </w:tc>
        <w:tc>
          <w:tcPr>
            <w:tcW w:w="33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8"/>
                <w:szCs w:val="18"/>
              </w:rPr>
              <w:t>基准价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5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1</w:t>
            </w:r>
          </w:p>
        </w:tc>
        <w:tc>
          <w:tcPr>
            <w:tcW w:w="158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10.00R22.5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——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——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——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1680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——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——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——</w:t>
            </w:r>
          </w:p>
        </w:tc>
        <w:tc>
          <w:tcPr>
            <w:tcW w:w="33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——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5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215/70R15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/>
                <w:caps w:val="0"/>
                <w:color w:val="444444"/>
                <w:spacing w:val="0"/>
                <w:sz w:val="19"/>
                <w:szCs w:val="19"/>
              </w:rPr>
              <w:t>590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/>
                <w:caps w:val="0"/>
                <w:color w:val="444444"/>
                <w:spacing w:val="0"/>
                <w:sz w:val="19"/>
                <w:szCs w:val="19"/>
              </w:rPr>
              <w:t>880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/>
                <w:caps w:val="0"/>
                <w:color w:val="444444"/>
                <w:spacing w:val="0"/>
                <w:sz w:val="19"/>
                <w:szCs w:val="19"/>
              </w:rPr>
              <w:t>715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/>
                <w:caps w:val="0"/>
                <w:color w:val="444444"/>
                <w:spacing w:val="0"/>
                <w:sz w:val="19"/>
                <w:szCs w:val="19"/>
              </w:rPr>
              <w:t>620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520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680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——</w:t>
            </w:r>
          </w:p>
        </w:tc>
        <w:tc>
          <w:tcPr>
            <w:tcW w:w="33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/>
                <w:caps w:val="0"/>
                <w:color w:val="444444"/>
                <w:spacing w:val="0"/>
                <w:sz w:val="19"/>
                <w:szCs w:val="19"/>
              </w:rPr>
              <w:t>660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5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3</w:t>
            </w:r>
          </w:p>
        </w:tc>
        <w:tc>
          <w:tcPr>
            <w:tcW w:w="158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205/60R16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560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/>
                <w:caps w:val="0"/>
                <w:color w:val="444444"/>
                <w:spacing w:val="0"/>
                <w:sz w:val="19"/>
                <w:szCs w:val="19"/>
              </w:rPr>
              <w:t>783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/>
                <w:caps w:val="0"/>
                <w:color w:val="444444"/>
                <w:spacing w:val="0"/>
                <w:sz w:val="19"/>
                <w:szCs w:val="19"/>
              </w:rPr>
              <w:t>680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/>
                <w:caps w:val="0"/>
                <w:color w:val="444444"/>
                <w:spacing w:val="0"/>
                <w:sz w:val="19"/>
                <w:szCs w:val="19"/>
              </w:rPr>
              <w:t>613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480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680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/>
                <w:caps w:val="0"/>
                <w:color w:val="444444"/>
                <w:spacing w:val="0"/>
                <w:sz w:val="19"/>
                <w:szCs w:val="19"/>
              </w:rPr>
              <w:t>710</w:t>
            </w:r>
          </w:p>
        </w:tc>
        <w:tc>
          <w:tcPr>
            <w:tcW w:w="33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/>
                <w:caps w:val="0"/>
                <w:color w:val="444444"/>
                <w:spacing w:val="0"/>
                <w:sz w:val="19"/>
                <w:szCs w:val="19"/>
              </w:rPr>
              <w:t>750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5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215/55R17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720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/>
                <w:caps w:val="0"/>
                <w:color w:val="444444"/>
                <w:spacing w:val="0"/>
                <w:sz w:val="19"/>
                <w:szCs w:val="19"/>
              </w:rPr>
              <w:t>970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/>
                <w:caps w:val="0"/>
                <w:color w:val="444444"/>
                <w:spacing w:val="0"/>
                <w:sz w:val="19"/>
                <w:szCs w:val="19"/>
              </w:rPr>
              <w:t>975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/>
                <w:caps w:val="0"/>
                <w:color w:val="444444"/>
                <w:spacing w:val="0"/>
                <w:sz w:val="19"/>
                <w:szCs w:val="19"/>
              </w:rPr>
              <w:t>850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650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/>
                <w:caps w:val="0"/>
                <w:color w:val="444444"/>
                <w:spacing w:val="0"/>
                <w:sz w:val="19"/>
                <w:szCs w:val="19"/>
              </w:rPr>
              <w:t>900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/>
                <w:caps w:val="0"/>
                <w:color w:val="444444"/>
                <w:spacing w:val="0"/>
                <w:sz w:val="19"/>
                <w:szCs w:val="19"/>
              </w:rPr>
              <w:t>930</w:t>
            </w:r>
          </w:p>
        </w:tc>
        <w:tc>
          <w:tcPr>
            <w:tcW w:w="33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/>
                <w:caps w:val="0"/>
                <w:color w:val="444444"/>
                <w:spacing w:val="0"/>
                <w:sz w:val="19"/>
                <w:szCs w:val="19"/>
              </w:rPr>
              <w:t>995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5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5</w:t>
            </w:r>
          </w:p>
        </w:tc>
        <w:tc>
          <w:tcPr>
            <w:tcW w:w="158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225/60R18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——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/>
                <w:caps w:val="0"/>
                <w:color w:val="444444"/>
                <w:spacing w:val="0"/>
                <w:sz w:val="19"/>
                <w:szCs w:val="19"/>
              </w:rPr>
              <w:t>1436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——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1080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——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1050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1260</w:t>
            </w:r>
          </w:p>
        </w:tc>
        <w:tc>
          <w:tcPr>
            <w:tcW w:w="33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——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5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6</w:t>
            </w:r>
          </w:p>
        </w:tc>
        <w:tc>
          <w:tcPr>
            <w:tcW w:w="158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225/55R17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680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/>
                <w:caps w:val="0"/>
                <w:color w:val="444444"/>
                <w:spacing w:val="0"/>
                <w:sz w:val="19"/>
                <w:szCs w:val="19"/>
              </w:rPr>
              <w:t>1143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/>
                <w:caps w:val="0"/>
                <w:color w:val="444444"/>
                <w:spacing w:val="0"/>
                <w:sz w:val="19"/>
                <w:szCs w:val="19"/>
              </w:rPr>
              <w:t>910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/>
                <w:caps w:val="0"/>
                <w:color w:val="444444"/>
                <w:spacing w:val="0"/>
                <w:sz w:val="19"/>
                <w:szCs w:val="19"/>
              </w:rPr>
              <w:t>780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textAlignment w:val="top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222222"/>
                <w:spacing w:val="0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720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/>
                <w:caps w:val="0"/>
                <w:color w:val="444444"/>
                <w:spacing w:val="0"/>
                <w:sz w:val="19"/>
                <w:szCs w:val="19"/>
              </w:rPr>
              <w:t>935</w:t>
            </w:r>
          </w:p>
        </w:tc>
        <w:tc>
          <w:tcPr>
            <w:tcW w:w="33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/>
                <w:caps w:val="0"/>
                <w:color w:val="444444"/>
                <w:spacing w:val="0"/>
                <w:sz w:val="19"/>
                <w:szCs w:val="19"/>
              </w:rPr>
              <w:t>920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5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7</w:t>
            </w:r>
          </w:p>
        </w:tc>
        <w:tc>
          <w:tcPr>
            <w:tcW w:w="158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225/50R17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——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/>
                <w:caps w:val="0"/>
                <w:color w:val="444444"/>
                <w:spacing w:val="0"/>
                <w:sz w:val="19"/>
                <w:szCs w:val="19"/>
              </w:rPr>
              <w:t>1060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/>
                <w:caps w:val="0"/>
                <w:color w:val="444444"/>
                <w:spacing w:val="0"/>
                <w:sz w:val="19"/>
                <w:szCs w:val="19"/>
              </w:rPr>
              <w:t>927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830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——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960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980</w:t>
            </w:r>
          </w:p>
        </w:tc>
        <w:tc>
          <w:tcPr>
            <w:tcW w:w="33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/>
                <w:caps w:val="0"/>
                <w:color w:val="444444"/>
                <w:spacing w:val="0"/>
                <w:sz w:val="19"/>
                <w:szCs w:val="19"/>
              </w:rPr>
              <w:t>950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5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8</w:t>
            </w:r>
          </w:p>
        </w:tc>
        <w:tc>
          <w:tcPr>
            <w:tcW w:w="158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235/60R17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880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1520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——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/>
                <w:caps w:val="0"/>
                <w:color w:val="444444"/>
                <w:spacing w:val="0"/>
                <w:sz w:val="19"/>
                <w:szCs w:val="19"/>
              </w:rPr>
              <w:t>955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——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textAlignment w:val="top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222222"/>
                <w:spacing w:val="0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/>
                <w:caps w:val="0"/>
                <w:color w:val="444444"/>
                <w:spacing w:val="0"/>
                <w:sz w:val="19"/>
                <w:szCs w:val="19"/>
              </w:rPr>
              <w:t>1185</w:t>
            </w:r>
          </w:p>
        </w:tc>
        <w:tc>
          <w:tcPr>
            <w:tcW w:w="33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——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5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9</w:t>
            </w:r>
          </w:p>
        </w:tc>
        <w:tc>
          <w:tcPr>
            <w:tcW w:w="158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195/70R15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650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——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——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i/>
                <w:caps w:val="0"/>
                <w:color w:val="444444"/>
                <w:spacing w:val="0"/>
                <w:sz w:val="19"/>
                <w:szCs w:val="19"/>
              </w:rPr>
              <w:t>640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450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580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——</w:t>
            </w:r>
          </w:p>
        </w:tc>
        <w:tc>
          <w:tcPr>
            <w:tcW w:w="33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——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5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10</w:t>
            </w:r>
          </w:p>
        </w:tc>
        <w:tc>
          <w:tcPr>
            <w:tcW w:w="158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700R16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——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——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——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730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——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——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——</w:t>
            </w:r>
          </w:p>
        </w:tc>
        <w:tc>
          <w:tcPr>
            <w:tcW w:w="33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80" w:beforeAutospacing="0" w:after="0" w:afterAutospacing="0" w:line="240" w:lineRule="auto"/>
              <w:ind w:left="0" w:right="0" w:firstLine="420"/>
              <w:jc w:val="center"/>
              <w:rPr>
                <w:b w:val="0"/>
                <w:color w:val="44444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444444"/>
                <w:spacing w:val="0"/>
                <w:sz w:val="19"/>
                <w:szCs w:val="19"/>
              </w:rPr>
              <w:t>——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 w:line="420" w:lineRule="atLeast"/>
        <w:ind w:left="0" w:right="0" w:firstLine="42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Style w:val="4"/>
          <w:rFonts w:hint="eastAsia" w:ascii="宋体" w:hAnsi="宋体" w:eastAsia="宋体" w:cs="宋体"/>
          <w:b/>
          <w:i w:val="0"/>
          <w:caps w:val="0"/>
          <w:color w:val="444444"/>
          <w:spacing w:val="0"/>
          <w:sz w:val="24"/>
          <w:szCs w:val="24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 w:line="435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t>注： 1.不在本报价范围内的其他型号轮胎价格参照市场行情协商定价。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 w:line="435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t>     2.本表中所指的“新胎”要求库存时间不超过半年轮胎。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 w:line="435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1"/>
          <w:szCs w:val="2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 w:line="240" w:lineRule="auto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444444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 w:line="435" w:lineRule="atLeast"/>
        <w:ind w:left="0" w:right="0" w:firstLine="48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4444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44444"/>
          <w:spacing w:val="0"/>
          <w:sz w:val="24"/>
          <w:szCs w:val="24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 w:line="240" w:lineRule="auto"/>
        <w:ind w:left="0" w:right="0" w:firstLine="420"/>
        <w:jc w:val="left"/>
        <w:rPr>
          <w:rStyle w:val="4"/>
          <w:rFonts w:hint="eastAsia" w:ascii="宋体" w:hAnsi="宋体" w:eastAsia="宋体" w:cs="宋体"/>
          <w:b/>
          <w:i w:val="0"/>
          <w:caps w:val="0"/>
          <w:color w:val="444444"/>
          <w:spacing w:val="0"/>
          <w:sz w:val="21"/>
          <w:szCs w:val="21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 w:line="240" w:lineRule="auto"/>
        <w:ind w:left="0" w:right="0" w:firstLine="420"/>
        <w:jc w:val="left"/>
        <w:rPr>
          <w:rStyle w:val="4"/>
          <w:rFonts w:hint="eastAsia" w:ascii="宋体" w:hAnsi="宋体" w:eastAsia="宋体" w:cs="宋体"/>
          <w:b/>
          <w:i w:val="0"/>
          <w:caps w:val="0"/>
          <w:color w:val="444444"/>
          <w:spacing w:val="0"/>
          <w:sz w:val="21"/>
          <w:szCs w:val="21"/>
          <w:shd w:val="clear" w:fill="FFFFFF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8737E"/>
    <w:multiLevelType w:val="singleLevel"/>
    <w:tmpl w:val="5A38737E"/>
    <w:lvl w:ilvl="0" w:tentative="0">
      <w:start w:val="1"/>
      <w:numFmt w:val="bullet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1">
    <w:nsid w:val="5A3873C5"/>
    <w:multiLevelType w:val="singleLevel"/>
    <w:tmpl w:val="5A3873C5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F22EE3"/>
    <w:rsid w:val="0B592C7C"/>
    <w:rsid w:val="44F22EE3"/>
    <w:rsid w:val="4D44056A"/>
    <w:rsid w:val="623805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Emphasis"/>
    <w:basedOn w:val="3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2017-12-19T01:26:00Z</dcterms:created>
  <dc:creator>彭莎</dc:creator>
  <cp:lastModifiedBy>彭莎</cp:lastModifiedBy>
  <dcterms:modified xsi:type="dcterms:W3CDTF">2017-12-19T02:08:22Z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