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numPr>
          <w:ilvl w:val="0"/>
          <w:numId w:val="0"/>
        </w:numPr>
        <w:spacing w:before="100" w:beforeAutospacing="1" w:after="100" w:afterAutospacing="1" w:line="360" w:lineRule="auto"/>
        <w:ind w:left="218" w:leftChars="104" w:firstLine="0" w:firstLineChars="0"/>
        <w:jc w:val="center"/>
        <w:rPr>
          <w:rFonts w:ascii="宋体" w:hAnsi="宋体" w:eastAsia="宋体" w:cs="宋体"/>
          <w:kern w:val="0"/>
          <w:szCs w:val="21"/>
        </w:rPr>
      </w:pPr>
      <w:r>
        <w:rPr>
          <w:rFonts w:hint="eastAsia" w:ascii="宋体" w:hAnsi="宋体" w:eastAsia="宋体" w:cs="宋体"/>
          <w:b/>
          <w:bCs/>
          <w:kern w:val="0"/>
          <w:szCs w:val="21"/>
          <w:lang w:eastAsia="zh-CN"/>
        </w:rPr>
        <w:t>包</w:t>
      </w:r>
      <w:r>
        <w:rPr>
          <w:rFonts w:hint="eastAsia" w:ascii="宋体" w:hAnsi="宋体" w:eastAsia="宋体" w:cs="宋体"/>
          <w:b/>
          <w:bCs/>
          <w:kern w:val="0"/>
          <w:szCs w:val="21"/>
          <w:lang w:val="en-US" w:eastAsia="zh-CN"/>
        </w:rPr>
        <w:t>2</w:t>
      </w:r>
      <w:r>
        <w:rPr>
          <w:rFonts w:ascii="宋体" w:hAnsi="宋体" w:eastAsia="宋体" w:cs="宋体"/>
          <w:b/>
          <w:bCs/>
          <w:kern w:val="0"/>
          <w:szCs w:val="21"/>
        </w:rPr>
        <w:t>询价内容</w:t>
      </w:r>
      <w:r>
        <w:rPr>
          <w:rFonts w:hint="eastAsia" w:ascii="宋体" w:hAnsi="宋体" w:eastAsia="宋体" w:cs="宋体"/>
          <w:b/>
          <w:bCs/>
          <w:kern w:val="0"/>
          <w:szCs w:val="21"/>
        </w:rPr>
        <w:t>及</w:t>
      </w:r>
      <w:r>
        <w:rPr>
          <w:rFonts w:ascii="宋体" w:hAnsi="宋体" w:eastAsia="宋体" w:cs="宋体"/>
          <w:b/>
          <w:bCs/>
          <w:kern w:val="0"/>
          <w:szCs w:val="21"/>
        </w:rPr>
        <w:t>要求</w:t>
      </w:r>
    </w:p>
    <w:tbl>
      <w:tblPr>
        <w:tblStyle w:val="9"/>
        <w:tblW w:w="108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890"/>
        <w:gridCol w:w="6630"/>
        <w:gridCol w:w="73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621" w:type="dxa"/>
            <w:vAlign w:val="center"/>
          </w:tcPr>
          <w:p>
            <w:pPr>
              <w:spacing w:line="240" w:lineRule="atLeast"/>
              <w:jc w:val="both"/>
              <w:rPr>
                <w:szCs w:val="24"/>
              </w:rPr>
            </w:pPr>
            <w:r>
              <w:rPr>
                <w:rFonts w:hint="eastAsia"/>
                <w:szCs w:val="24"/>
              </w:rPr>
              <w:t>序号</w:t>
            </w:r>
          </w:p>
        </w:tc>
        <w:tc>
          <w:tcPr>
            <w:tcW w:w="1890" w:type="dxa"/>
            <w:vAlign w:val="center"/>
          </w:tcPr>
          <w:p>
            <w:pPr>
              <w:spacing w:line="240" w:lineRule="atLeast"/>
              <w:jc w:val="center"/>
              <w:rPr>
                <w:szCs w:val="24"/>
              </w:rPr>
            </w:pPr>
            <w:r>
              <w:rPr>
                <w:rFonts w:hint="eastAsia"/>
                <w:szCs w:val="24"/>
              </w:rPr>
              <w:t>采购项目名称</w:t>
            </w:r>
          </w:p>
        </w:tc>
        <w:tc>
          <w:tcPr>
            <w:tcW w:w="6630" w:type="dxa"/>
            <w:vAlign w:val="center"/>
          </w:tcPr>
          <w:p>
            <w:pPr>
              <w:spacing w:line="240" w:lineRule="atLeast"/>
              <w:ind w:firstLine="2100" w:firstLineChars="1000"/>
              <w:jc w:val="both"/>
              <w:rPr>
                <w:rFonts w:hint="eastAsia" w:eastAsiaTheme="minorEastAsia"/>
                <w:szCs w:val="24"/>
                <w:lang w:eastAsia="zh-CN"/>
              </w:rPr>
            </w:pPr>
            <w:r>
              <w:rPr>
                <w:rFonts w:hint="eastAsia"/>
                <w:szCs w:val="24"/>
                <w:lang w:eastAsia="zh-CN"/>
              </w:rPr>
              <w:t>询价内容</w:t>
            </w:r>
          </w:p>
        </w:tc>
        <w:tc>
          <w:tcPr>
            <w:tcW w:w="735" w:type="dxa"/>
            <w:vAlign w:val="center"/>
          </w:tcPr>
          <w:p>
            <w:pPr>
              <w:spacing w:line="240" w:lineRule="atLeast"/>
              <w:jc w:val="center"/>
              <w:rPr>
                <w:szCs w:val="24"/>
              </w:rPr>
            </w:pPr>
            <w:r>
              <w:rPr>
                <w:rFonts w:hint="eastAsia"/>
                <w:szCs w:val="24"/>
              </w:rPr>
              <w:t>数量</w:t>
            </w:r>
          </w:p>
        </w:tc>
        <w:tc>
          <w:tcPr>
            <w:tcW w:w="945" w:type="dxa"/>
            <w:vAlign w:val="center"/>
          </w:tcPr>
          <w:p>
            <w:pPr>
              <w:spacing w:line="240" w:lineRule="atLeast"/>
              <w:jc w:val="center"/>
              <w:rPr>
                <w:szCs w:val="24"/>
              </w:rPr>
            </w:pPr>
            <w:r>
              <w:rPr>
                <w:rFonts w:hint="eastAsia"/>
                <w:szCs w:val="24"/>
                <w:lang w:eastAsia="zh-CN"/>
              </w:rPr>
              <w:t>采购控制价</w:t>
            </w:r>
          </w:p>
          <w:p>
            <w:pPr>
              <w:spacing w:line="240" w:lineRule="atLeast"/>
              <w:jc w:val="center"/>
              <w:rPr>
                <w:szCs w:val="24"/>
              </w:rPr>
            </w:pPr>
            <w:r>
              <w:rPr>
                <w:rFonts w:hint="eastAsia"/>
                <w:szCs w:val="24"/>
              </w:rPr>
              <w:t>（元</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80" w:hRule="atLeast"/>
        </w:trPr>
        <w:tc>
          <w:tcPr>
            <w:tcW w:w="621" w:type="dxa"/>
            <w:shd w:val="clear" w:color="auto" w:fill="auto"/>
            <w:vAlign w:val="center"/>
          </w:tcPr>
          <w:p>
            <w:pPr>
              <w:spacing w:line="240" w:lineRule="atLeast"/>
              <w:jc w:val="center"/>
              <w:rPr>
                <w:szCs w:val="24"/>
              </w:rPr>
            </w:pPr>
            <w:r>
              <w:rPr>
                <w:rFonts w:hint="eastAsia"/>
                <w:szCs w:val="24"/>
              </w:rPr>
              <w:t>1</w:t>
            </w:r>
          </w:p>
        </w:tc>
        <w:tc>
          <w:tcPr>
            <w:tcW w:w="1890"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宋体" w:hAnsi="宋体"/>
                <w:color w:val="000000"/>
                <w:szCs w:val="21"/>
              </w:rPr>
              <w:t>手摇升降解剖台</w:t>
            </w:r>
          </w:p>
        </w:tc>
        <w:tc>
          <w:tcPr>
            <w:tcW w:w="6630" w:type="dxa"/>
            <w:vAlign w:val="center"/>
          </w:tcPr>
          <w:p>
            <w:pPr>
              <w:rPr>
                <w:rFonts w:hint="eastAsia" w:ascii="宋体" w:hAnsi="宋体" w:eastAsiaTheme="minorEastAsia" w:cstheme="minorBidi"/>
                <w:color w:val="000000"/>
                <w:kern w:val="2"/>
                <w:sz w:val="21"/>
                <w:szCs w:val="21"/>
                <w:lang w:val="en-US" w:eastAsia="zh-CN" w:bidi="ar-SA"/>
              </w:rPr>
            </w:pPr>
            <w:r>
              <w:rPr>
                <w:rFonts w:hint="eastAsia" w:ascii="宋体" w:hAnsi="宋体" w:eastAsiaTheme="minorEastAsia" w:cstheme="minorBidi"/>
                <w:color w:val="000000"/>
                <w:kern w:val="2"/>
                <w:sz w:val="21"/>
                <w:szCs w:val="21"/>
                <w:lang w:val="en-US" w:eastAsia="zh-CN" w:bidi="ar-SA"/>
              </w:rPr>
              <w:t>规格：2000*760*840mm，SUS304不锈钢材质，单开台面，带万向静音轮。</w:t>
            </w:r>
          </w:p>
          <w:p>
            <w:pPr>
              <w:ind w:firstLine="210" w:firstLineChars="100"/>
              <w:rPr>
                <w:rFonts w:hint="eastAsia" w:ascii="宋体" w:hAnsi="宋体" w:eastAsiaTheme="minorEastAsia" w:cstheme="minorBidi"/>
                <w:color w:val="000000"/>
                <w:kern w:val="2"/>
                <w:sz w:val="21"/>
                <w:szCs w:val="21"/>
                <w:lang w:val="en-US" w:eastAsia="zh-CN" w:bidi="ar-SA"/>
              </w:rPr>
            </w:pPr>
            <w:r>
              <w:rPr>
                <w:rFonts w:hint="eastAsia" w:ascii="宋体" w:hAnsi="宋体" w:eastAsiaTheme="minorEastAsia" w:cstheme="minorBidi"/>
                <w:color w:val="000000"/>
                <w:kern w:val="2"/>
                <w:sz w:val="21"/>
                <w:szCs w:val="21"/>
                <w:lang w:val="en-US" w:eastAsia="zh-CN" w:bidi="ar-SA"/>
              </w:rPr>
              <w:t>箱体材质为SUS304不锈钢，厚度1.5mm，箱体支架材质为SUS304不锈钢，规格380*380mm，厚度2.0mm。</w:t>
            </w:r>
          </w:p>
          <w:p>
            <w:pPr>
              <w:ind w:firstLine="210" w:firstLineChars="100"/>
              <w:rPr>
                <w:rFonts w:hint="eastAsia" w:ascii="宋体" w:hAnsi="宋体" w:eastAsiaTheme="minorEastAsia" w:cstheme="minorBidi"/>
                <w:color w:val="000000"/>
                <w:kern w:val="2"/>
                <w:sz w:val="21"/>
                <w:szCs w:val="21"/>
                <w:lang w:val="en-US" w:eastAsia="zh-CN" w:bidi="ar-SA"/>
              </w:rPr>
            </w:pPr>
            <w:r>
              <w:rPr>
                <w:rFonts w:hint="eastAsia" w:ascii="宋体" w:hAnsi="宋体" w:eastAsiaTheme="minorEastAsia" w:cstheme="minorBidi"/>
                <w:color w:val="000000"/>
                <w:kern w:val="2"/>
                <w:sz w:val="21"/>
                <w:szCs w:val="21"/>
                <w:lang w:val="en-US" w:eastAsia="zh-CN" w:bidi="ar-SA"/>
              </w:rPr>
              <w:t>台面有凹槽止口设计，与下台面紧密结合，防止福尔马林泄露，台面可放下挂靠在解剖台侧面，台面模压成型。</w:t>
            </w:r>
          </w:p>
          <w:p>
            <w:pPr>
              <w:ind w:firstLine="210" w:firstLineChars="100"/>
              <w:rPr>
                <w:rFonts w:hint="eastAsia" w:ascii="宋体" w:hAnsi="宋体" w:eastAsiaTheme="minorEastAsia" w:cstheme="minorBidi"/>
                <w:color w:val="000000"/>
                <w:kern w:val="2"/>
                <w:sz w:val="21"/>
                <w:szCs w:val="21"/>
                <w:lang w:val="en-US" w:eastAsia="zh-CN" w:bidi="ar-SA"/>
              </w:rPr>
            </w:pPr>
            <w:r>
              <w:rPr>
                <w:rFonts w:hint="eastAsia" w:ascii="宋体" w:hAnsi="宋体" w:eastAsiaTheme="minorEastAsia" w:cstheme="minorBidi"/>
                <w:color w:val="000000"/>
                <w:kern w:val="2"/>
                <w:sz w:val="21"/>
                <w:szCs w:val="21"/>
                <w:lang w:val="en-US" w:eastAsia="zh-CN" w:bidi="ar-SA"/>
              </w:rPr>
              <w:t>解剖台箱体分内外两层，上口部分采用F25*50mm不锈钢管加强设计，放满福尔马林无直线变形，底侧部带有不锈钢放水阀门，上风口尺寸5*40mm条形状，磨具冲压而成，上下两排离边框距离2mm，内外箱体间隔支承F25*50mm不锈钢方管，内箱体能保证尸体标本可完全浸泡，不锈钢四螺柱支撑轴承位于内箱体内四角。传动同步，伞齿轮为m=2，轴承d=12，四螺柱为Φ22mm，台面承重≧200KG。四螺柱螺母升降同步以保证升降台面的平稳，保证畸形标本的升降顺利，内箱体漏水有适当斜度保证。</w:t>
            </w:r>
          </w:p>
          <w:p>
            <w:pPr>
              <w:ind w:firstLine="210" w:firstLineChars="100"/>
              <w:rPr>
                <w:rFonts w:hint="eastAsia" w:ascii="宋体" w:hAnsi="宋体" w:eastAsiaTheme="minorEastAsia" w:cstheme="minorBidi"/>
                <w:color w:val="000000"/>
                <w:kern w:val="2"/>
                <w:sz w:val="21"/>
                <w:szCs w:val="21"/>
                <w:lang w:val="en-US" w:eastAsia="zh-CN" w:bidi="ar-SA"/>
              </w:rPr>
            </w:pPr>
            <w:r>
              <w:rPr>
                <w:rFonts w:hint="eastAsia" w:ascii="宋体" w:hAnsi="宋体" w:eastAsiaTheme="minorEastAsia" w:cstheme="minorBidi"/>
                <w:color w:val="000000"/>
                <w:kern w:val="2"/>
                <w:sz w:val="21"/>
                <w:szCs w:val="21"/>
                <w:lang w:val="en-US" w:eastAsia="zh-CN" w:bidi="ar-SA"/>
              </w:rPr>
              <w:t>二、售后服务</w:t>
            </w:r>
          </w:p>
          <w:p>
            <w:pPr>
              <w:ind w:firstLine="210" w:firstLineChars="100"/>
              <w:rPr>
                <w:rFonts w:hint="eastAsia" w:ascii="宋体" w:hAnsi="宋体" w:eastAsiaTheme="minorEastAsia" w:cstheme="minorBidi"/>
                <w:color w:val="000000"/>
                <w:kern w:val="2"/>
                <w:sz w:val="21"/>
                <w:szCs w:val="21"/>
                <w:lang w:val="en-US" w:eastAsia="zh-CN" w:bidi="ar-SA"/>
              </w:rPr>
            </w:pPr>
            <w:r>
              <w:rPr>
                <w:rFonts w:hint="eastAsia" w:ascii="宋体" w:hAnsi="宋体" w:eastAsiaTheme="minorEastAsia" w:cstheme="minorBidi"/>
                <w:color w:val="000000"/>
                <w:kern w:val="2"/>
                <w:sz w:val="21"/>
                <w:szCs w:val="21"/>
                <w:lang w:val="en-US" w:eastAsia="zh-CN" w:bidi="ar-SA"/>
              </w:rPr>
              <w:t>1、验收合格后免费保修5年</w:t>
            </w:r>
          </w:p>
          <w:p>
            <w:pPr>
              <w:ind w:firstLine="210" w:firstLineChars="100"/>
              <w:rPr>
                <w:rFonts w:hint="eastAsia" w:ascii="宋体" w:hAnsi="宋体" w:eastAsiaTheme="minorEastAsia" w:cstheme="minorBidi"/>
                <w:color w:val="000000"/>
                <w:kern w:val="2"/>
                <w:sz w:val="21"/>
                <w:szCs w:val="21"/>
                <w:lang w:val="en-US" w:eastAsia="zh-CN" w:bidi="ar-SA"/>
              </w:rPr>
            </w:pPr>
            <w:r>
              <w:rPr>
                <w:rFonts w:hint="eastAsia" w:ascii="宋体" w:hAnsi="宋体" w:eastAsiaTheme="minorEastAsia" w:cstheme="minorBidi"/>
                <w:color w:val="000000"/>
                <w:kern w:val="2"/>
                <w:sz w:val="21"/>
                <w:szCs w:val="21"/>
                <w:lang w:val="en-US" w:eastAsia="zh-CN" w:bidi="ar-SA"/>
              </w:rPr>
              <w:t>三、付款方式：</w:t>
            </w:r>
          </w:p>
          <w:p>
            <w:pPr>
              <w:ind w:firstLine="210" w:firstLineChars="100"/>
              <w:rPr>
                <w:rFonts w:hint="eastAsia" w:ascii="宋体" w:hAnsi="宋体" w:eastAsiaTheme="minorEastAsia" w:cstheme="minorBidi"/>
                <w:color w:val="000000"/>
                <w:kern w:val="2"/>
                <w:sz w:val="21"/>
                <w:szCs w:val="21"/>
                <w:lang w:val="en-US" w:eastAsia="zh-CN" w:bidi="ar-SA"/>
              </w:rPr>
            </w:pPr>
            <w:r>
              <w:rPr>
                <w:rFonts w:hint="eastAsia" w:ascii="宋体" w:hAnsi="宋体" w:eastAsiaTheme="minorEastAsia" w:cstheme="minorBidi"/>
                <w:color w:val="000000"/>
                <w:kern w:val="2"/>
                <w:sz w:val="21"/>
                <w:szCs w:val="21"/>
                <w:lang w:val="en-US" w:eastAsia="zh-CN" w:bidi="ar-SA"/>
              </w:rPr>
              <w:t>货物安装调试并验收合格后中标方向我院提供100%的货款正规含税发票，学院支付95%的设备价款，余下的5％设备价款作为售后服务保证金，该保证金若货物验收合格之日起满一年后无质量和售后服务问题一次性无息退还。</w:t>
            </w:r>
          </w:p>
          <w:p>
            <w:pPr>
              <w:spacing w:line="240" w:lineRule="atLeast"/>
              <w:jc w:val="left"/>
              <w:rPr>
                <w:rFonts w:hint="eastAsia" w:ascii="宋体" w:hAnsi="宋体" w:cs="宋体"/>
                <w:color w:val="323E32"/>
                <w:kern w:val="0"/>
                <w:sz w:val="18"/>
                <w:szCs w:val="18"/>
                <w:lang w:eastAsia="zh-CN"/>
              </w:rPr>
            </w:pPr>
          </w:p>
        </w:tc>
        <w:tc>
          <w:tcPr>
            <w:tcW w:w="735" w:type="dxa"/>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2套</w:t>
            </w:r>
          </w:p>
        </w:tc>
        <w:tc>
          <w:tcPr>
            <w:tcW w:w="945"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25000</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bCs/>
          <w:szCs w:val="21"/>
          <w:lang w:eastAsia="zh-CN"/>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sectPr>
          <w:pgSz w:w="11906" w:h="16838"/>
          <w:pgMar w:top="1440" w:right="1800" w:bottom="1440" w:left="760" w:header="851" w:footer="992" w:gutter="0"/>
          <w:cols w:space="425" w:num="1"/>
          <w:docGrid w:type="lines" w:linePitch="312" w:charSpace="0"/>
        </w:sect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firstLine="6184" w:firstLineChars="2200"/>
        <w:jc w:val="both"/>
        <w:textAlignment w:val="baseline"/>
        <w:rPr>
          <w:rFonts w:hint="eastAsia" w:ascii="宋体" w:hAnsi="宋体" w:eastAsia="宋体" w:cs="宋体"/>
          <w:i w:val="0"/>
          <w:caps w:val="0"/>
          <w:color w:val="000000"/>
          <w:spacing w:val="0"/>
          <w:sz w:val="28"/>
          <w:szCs w:val="28"/>
          <w:vertAlign w:val="baseline"/>
        </w:rPr>
      </w:pPr>
      <w:r>
        <w:rPr>
          <w:rFonts w:hint="eastAsia" w:ascii="宋体" w:hAnsi="宋体" w:eastAsia="宋体" w:cs="宋体"/>
          <w:i w:val="0"/>
          <w:caps w:val="0"/>
          <w:color w:val="000000"/>
          <w:spacing w:val="0"/>
          <w:sz w:val="28"/>
          <w:szCs w:val="28"/>
          <w:vertAlign w:val="baseline"/>
        </w:rPr>
        <w:t>规格响应表</w:t>
      </w:r>
    </w:p>
    <w:tbl>
      <w:tblPr>
        <w:tblStyle w:val="9"/>
        <w:tblpPr w:leftFromText="180" w:rightFromText="180" w:vertAnchor="text" w:horzAnchor="page" w:tblpX="683" w:tblpY="246"/>
        <w:tblOverlap w:val="never"/>
        <w:tblW w:w="15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477"/>
        <w:gridCol w:w="5653"/>
        <w:gridCol w:w="6107"/>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477" w:type="dxa"/>
            <w:vAlign w:val="center"/>
          </w:tcPr>
          <w:p>
            <w:pPr>
              <w:spacing w:line="240" w:lineRule="atLeast"/>
              <w:jc w:val="center"/>
              <w:rPr>
                <w:rFonts w:hint="eastAsia" w:eastAsia="宋体"/>
                <w:szCs w:val="24"/>
                <w:lang w:eastAsia="zh-CN"/>
              </w:rPr>
            </w:pPr>
            <w:r>
              <w:rPr>
                <w:rFonts w:hint="eastAsia"/>
                <w:szCs w:val="24"/>
                <w:lang w:eastAsia="zh-CN"/>
              </w:rPr>
              <w:t>询价项目名称</w:t>
            </w:r>
          </w:p>
        </w:tc>
        <w:tc>
          <w:tcPr>
            <w:tcW w:w="5653" w:type="dxa"/>
            <w:vAlign w:val="center"/>
          </w:tcPr>
          <w:p>
            <w:pPr>
              <w:spacing w:line="240" w:lineRule="atLeast"/>
              <w:jc w:val="center"/>
              <w:rPr>
                <w:szCs w:val="24"/>
              </w:rPr>
            </w:pPr>
            <w:r>
              <w:rPr>
                <w:rFonts w:hint="eastAsia" w:ascii="宋体" w:hAnsi="宋体" w:eastAsia="宋体" w:cs="宋体"/>
                <w:b w:val="0"/>
                <w:i w:val="0"/>
                <w:caps w:val="0"/>
                <w:color w:val="000000"/>
                <w:spacing w:val="0"/>
                <w:sz w:val="24"/>
                <w:szCs w:val="24"/>
              </w:rPr>
              <w:t>询价采购文件规定的规格、参数</w:t>
            </w:r>
          </w:p>
        </w:tc>
        <w:tc>
          <w:tcPr>
            <w:tcW w:w="6107" w:type="dxa"/>
            <w:vAlign w:val="center"/>
          </w:tcPr>
          <w:p>
            <w:pPr>
              <w:spacing w:line="240" w:lineRule="atLeast"/>
              <w:jc w:val="center"/>
              <w:rPr>
                <w:rFonts w:hint="eastAsia" w:eastAsia="宋体"/>
                <w:szCs w:val="24"/>
                <w:lang w:eastAsia="zh-CN"/>
              </w:rPr>
            </w:pPr>
            <w:r>
              <w:rPr>
                <w:rFonts w:hint="eastAsia" w:ascii="宋体" w:hAnsi="宋体" w:eastAsia="宋体" w:cs="宋体"/>
                <w:b w:val="0"/>
                <w:i w:val="0"/>
                <w:caps w:val="0"/>
                <w:color w:val="000000"/>
                <w:spacing w:val="0"/>
                <w:sz w:val="24"/>
                <w:szCs w:val="24"/>
              </w:rPr>
              <w:t>供应商所投产品的规格、参数</w:t>
            </w:r>
          </w:p>
        </w:tc>
        <w:tc>
          <w:tcPr>
            <w:tcW w:w="2098" w:type="dxa"/>
            <w:vAlign w:val="center"/>
          </w:tcPr>
          <w:p>
            <w:pPr>
              <w:spacing w:line="240" w:lineRule="atLeast"/>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rPr>
              <w:t>响应情况</w:t>
            </w:r>
          </w:p>
          <w:p>
            <w:pPr>
              <w:spacing w:line="240" w:lineRule="atLeast"/>
              <w:jc w:val="center"/>
              <w:rPr>
                <w:rFonts w:hint="eastAsia" w:eastAsia="宋体"/>
                <w:szCs w:val="24"/>
                <w:lang w:eastAsia="zh-CN"/>
              </w:rPr>
            </w:pPr>
            <w:r>
              <w:rPr>
                <w:rFonts w:hint="eastAsia"/>
                <w:szCs w:val="24"/>
                <w:lang w:eastAsia="zh-CN"/>
              </w:rPr>
              <w:t>（正偏离、无偏离、负偏离）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6" w:hRule="atLeast"/>
        </w:trPr>
        <w:tc>
          <w:tcPr>
            <w:tcW w:w="490" w:type="dxa"/>
            <w:vMerge w:val="restart"/>
            <w:shd w:val="clear" w:color="auto" w:fill="auto"/>
            <w:vAlign w:val="center"/>
          </w:tcPr>
          <w:p>
            <w:pPr>
              <w:spacing w:line="240" w:lineRule="atLeast"/>
              <w:jc w:val="both"/>
              <w:rPr>
                <w:szCs w:val="24"/>
              </w:rPr>
            </w:pPr>
            <w:r>
              <w:rPr>
                <w:rFonts w:hint="eastAsia"/>
                <w:szCs w:val="24"/>
              </w:rPr>
              <w:t>1</w:t>
            </w:r>
          </w:p>
        </w:tc>
        <w:tc>
          <w:tcPr>
            <w:tcW w:w="1477" w:type="dxa"/>
            <w:vMerge w:val="restart"/>
            <w:shd w:val="clear" w:color="auto" w:fill="FFFFFF"/>
            <w:vAlign w:val="center"/>
          </w:tcPr>
          <w:p>
            <w:pPr>
              <w:widowControl/>
              <w:spacing w:line="240" w:lineRule="atLeast"/>
              <w:jc w:val="left"/>
              <w:textAlignment w:val="center"/>
              <w:rPr>
                <w:szCs w:val="24"/>
              </w:rPr>
            </w:pPr>
            <w:r>
              <w:rPr>
                <w:rFonts w:hint="eastAsia" w:ascii="宋体" w:hAnsi="宋体"/>
                <w:color w:val="000000"/>
                <w:szCs w:val="21"/>
              </w:rPr>
              <w:t>手摇升降解剖台</w:t>
            </w:r>
          </w:p>
        </w:tc>
        <w:tc>
          <w:tcPr>
            <w:tcW w:w="5653" w:type="dxa"/>
            <w:vAlign w:val="center"/>
          </w:tcPr>
          <w:p>
            <w:pPr>
              <w:rPr>
                <w:sz w:val="18"/>
                <w:szCs w:val="18"/>
              </w:rPr>
            </w:pPr>
            <w:r>
              <w:rPr>
                <w:rFonts w:hint="eastAsia" w:ascii="宋体" w:hAnsi="宋体" w:cstheme="minorBidi"/>
                <w:color w:val="000000"/>
                <w:kern w:val="2"/>
                <w:sz w:val="18"/>
                <w:szCs w:val="18"/>
                <w:lang w:val="en-US" w:eastAsia="zh-CN" w:bidi="ar-SA"/>
              </w:rPr>
              <w:t>1.</w:t>
            </w:r>
            <w:r>
              <w:rPr>
                <w:rFonts w:hint="eastAsia" w:ascii="宋体" w:hAnsi="宋体" w:eastAsiaTheme="minorEastAsia" w:cstheme="minorBidi"/>
                <w:color w:val="000000"/>
                <w:kern w:val="2"/>
                <w:sz w:val="18"/>
                <w:szCs w:val="18"/>
                <w:lang w:val="en-US" w:eastAsia="zh-CN" w:bidi="ar-SA"/>
              </w:rPr>
              <w:t>规格：2000*760*840mm，SUS304不锈钢材质，单开台面，带万向静音轮。</w:t>
            </w:r>
          </w:p>
        </w:tc>
        <w:tc>
          <w:tcPr>
            <w:tcW w:w="610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vMerge w:val="continue"/>
            <w:shd w:val="clear" w:color="auto" w:fill="auto"/>
            <w:vAlign w:val="center"/>
          </w:tcPr>
          <w:p>
            <w:pPr>
              <w:spacing w:line="240" w:lineRule="atLeast"/>
              <w:jc w:val="center"/>
              <w:rPr>
                <w:szCs w:val="24"/>
              </w:rPr>
            </w:pPr>
          </w:p>
        </w:tc>
        <w:tc>
          <w:tcPr>
            <w:tcW w:w="1477" w:type="dxa"/>
            <w:vMerge w:val="continue"/>
            <w:shd w:val="clear" w:color="auto" w:fill="FFFFFF"/>
            <w:vAlign w:val="center"/>
          </w:tcPr>
          <w:p>
            <w:pPr>
              <w:widowControl/>
              <w:spacing w:line="240" w:lineRule="atLeast"/>
              <w:jc w:val="left"/>
              <w:textAlignment w:val="center"/>
              <w:rPr>
                <w:szCs w:val="24"/>
              </w:rPr>
            </w:pPr>
          </w:p>
        </w:tc>
        <w:tc>
          <w:tcPr>
            <w:tcW w:w="5653" w:type="dxa"/>
            <w:vAlign w:val="center"/>
          </w:tcPr>
          <w:p>
            <w:pPr>
              <w:rPr>
                <w:rFonts w:ascii="宋体" w:hAnsi="宋体"/>
                <w:color w:val="323E32"/>
                <w:sz w:val="18"/>
                <w:szCs w:val="18"/>
              </w:rPr>
            </w:pPr>
            <w:r>
              <w:rPr>
                <w:rFonts w:hint="eastAsia" w:ascii="宋体" w:hAnsi="宋体" w:cstheme="minorBidi"/>
                <w:color w:val="000000"/>
                <w:kern w:val="2"/>
                <w:sz w:val="18"/>
                <w:szCs w:val="18"/>
                <w:lang w:val="en-US" w:eastAsia="zh-CN" w:bidi="ar-SA"/>
              </w:rPr>
              <w:t>2.</w:t>
            </w:r>
            <w:r>
              <w:rPr>
                <w:rFonts w:hint="eastAsia" w:ascii="宋体" w:hAnsi="宋体" w:eastAsiaTheme="minorEastAsia" w:cstheme="minorBidi"/>
                <w:color w:val="000000"/>
                <w:kern w:val="2"/>
                <w:sz w:val="18"/>
                <w:szCs w:val="18"/>
                <w:lang w:val="en-US" w:eastAsia="zh-CN" w:bidi="ar-SA"/>
              </w:rPr>
              <w:t>箱体材质为SUS304不锈钢，厚度1.5mm，箱体支架材质为SUS304不锈钢，规格380*380mm，厚度2.0mm。</w:t>
            </w:r>
          </w:p>
        </w:tc>
        <w:tc>
          <w:tcPr>
            <w:tcW w:w="610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vMerge w:val="continue"/>
            <w:shd w:val="clear" w:color="auto" w:fill="auto"/>
            <w:vAlign w:val="center"/>
          </w:tcPr>
          <w:p>
            <w:pPr>
              <w:spacing w:line="240" w:lineRule="atLeast"/>
              <w:jc w:val="center"/>
              <w:rPr>
                <w:szCs w:val="24"/>
              </w:rPr>
            </w:pPr>
          </w:p>
        </w:tc>
        <w:tc>
          <w:tcPr>
            <w:tcW w:w="1477" w:type="dxa"/>
            <w:vMerge w:val="continue"/>
            <w:shd w:val="clear" w:color="auto" w:fill="FFFFFF"/>
            <w:vAlign w:val="center"/>
          </w:tcPr>
          <w:p>
            <w:pPr>
              <w:widowControl/>
              <w:spacing w:line="240" w:lineRule="atLeast"/>
              <w:jc w:val="left"/>
              <w:textAlignment w:val="center"/>
              <w:rPr>
                <w:szCs w:val="24"/>
              </w:rPr>
            </w:pPr>
          </w:p>
        </w:tc>
        <w:tc>
          <w:tcPr>
            <w:tcW w:w="5653" w:type="dxa"/>
            <w:vAlign w:val="center"/>
          </w:tcPr>
          <w:p>
            <w:pPr>
              <w:rPr>
                <w:sz w:val="18"/>
                <w:szCs w:val="18"/>
              </w:rPr>
            </w:pPr>
            <w:r>
              <w:rPr>
                <w:rFonts w:hint="eastAsia" w:ascii="宋体" w:hAnsi="宋体" w:cstheme="minorBidi"/>
                <w:color w:val="000000"/>
                <w:kern w:val="2"/>
                <w:sz w:val="18"/>
                <w:szCs w:val="18"/>
                <w:lang w:val="en-US" w:eastAsia="zh-CN" w:bidi="ar-SA"/>
              </w:rPr>
              <w:t>3.</w:t>
            </w:r>
            <w:r>
              <w:rPr>
                <w:rFonts w:hint="eastAsia" w:ascii="宋体" w:hAnsi="宋体" w:eastAsiaTheme="minorEastAsia" w:cstheme="minorBidi"/>
                <w:color w:val="000000"/>
                <w:kern w:val="2"/>
                <w:sz w:val="18"/>
                <w:szCs w:val="18"/>
                <w:lang w:val="en-US" w:eastAsia="zh-CN" w:bidi="ar-SA"/>
              </w:rPr>
              <w:t>台面有凹槽止口设计，与下台面紧密结合，防止福尔马林泄露，台面可放下挂靠在解剖台侧面，台面模压成型。</w:t>
            </w:r>
          </w:p>
        </w:tc>
        <w:tc>
          <w:tcPr>
            <w:tcW w:w="610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 w:hRule="atLeast"/>
        </w:trPr>
        <w:tc>
          <w:tcPr>
            <w:tcW w:w="490" w:type="dxa"/>
            <w:vMerge w:val="continue"/>
            <w:shd w:val="clear" w:color="auto" w:fill="auto"/>
            <w:vAlign w:val="top"/>
          </w:tcPr>
          <w:p>
            <w:pPr>
              <w:spacing w:line="240" w:lineRule="atLeast"/>
              <w:jc w:val="center"/>
              <w:rPr>
                <w:szCs w:val="24"/>
              </w:rPr>
            </w:pPr>
          </w:p>
        </w:tc>
        <w:tc>
          <w:tcPr>
            <w:tcW w:w="1477" w:type="dxa"/>
            <w:vMerge w:val="continue"/>
            <w:shd w:val="clear" w:color="auto" w:fill="FFFFFF"/>
            <w:vAlign w:val="center"/>
          </w:tcPr>
          <w:p>
            <w:pPr>
              <w:widowControl/>
              <w:spacing w:line="240" w:lineRule="atLeast"/>
              <w:jc w:val="left"/>
              <w:textAlignment w:val="center"/>
              <w:rPr>
                <w:szCs w:val="24"/>
              </w:rPr>
            </w:pPr>
          </w:p>
        </w:tc>
        <w:tc>
          <w:tcPr>
            <w:tcW w:w="5653" w:type="dxa"/>
            <w:vAlign w:val="top"/>
          </w:tcPr>
          <w:p>
            <w:pPr>
              <w:rPr>
                <w:sz w:val="18"/>
                <w:szCs w:val="18"/>
              </w:rPr>
            </w:pPr>
            <w:r>
              <w:rPr>
                <w:rFonts w:hint="eastAsia" w:ascii="宋体" w:hAnsi="宋体" w:cstheme="minorBidi"/>
                <w:color w:val="000000"/>
                <w:kern w:val="2"/>
                <w:sz w:val="18"/>
                <w:szCs w:val="18"/>
                <w:lang w:val="en-US" w:eastAsia="zh-CN" w:bidi="ar-SA"/>
              </w:rPr>
              <w:t>4.</w:t>
            </w:r>
            <w:r>
              <w:rPr>
                <w:rFonts w:hint="eastAsia" w:ascii="宋体" w:hAnsi="宋体" w:eastAsiaTheme="minorEastAsia" w:cstheme="minorBidi"/>
                <w:color w:val="000000"/>
                <w:kern w:val="2"/>
                <w:sz w:val="18"/>
                <w:szCs w:val="18"/>
                <w:lang w:val="en-US" w:eastAsia="zh-CN" w:bidi="ar-SA"/>
              </w:rPr>
              <w:t>解剖台箱体分内外两层，上口部分采用F25*50mm不锈钢管加强设计，放满福尔马林无直线变形，底侧部带有不锈钢放水阀门，上风口尺寸5*40mm条形状，磨具冲压而成，上下两排离边框距离2mm，内外箱体间隔支承F25*50mm不锈钢方管，内箱体能保证尸体标本可完全浸泡，不锈钢四螺柱支撑轴承位于内箱体内四角。传动同步，伞齿轮为m=2，轴承d=12，四螺柱为Φ22mm，台面承重≧200KG。四螺柱螺母升降同步以保证升降台面的平稳，保证畸形标本的升降顺利，内箱体漏水有适当斜度保证。</w:t>
            </w:r>
          </w:p>
        </w:tc>
        <w:tc>
          <w:tcPr>
            <w:tcW w:w="610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477" w:type="dxa"/>
            <w:shd w:val="clear" w:color="auto" w:fill="FFFFFF"/>
            <w:vAlign w:val="center"/>
          </w:tcPr>
          <w:p>
            <w:pPr>
              <w:widowControl/>
              <w:spacing w:line="240" w:lineRule="atLeast"/>
              <w:jc w:val="left"/>
              <w:textAlignment w:val="center"/>
              <w:rPr>
                <w:rFonts w:hint="eastAsia"/>
                <w:b/>
                <w:bCs/>
                <w:szCs w:val="21"/>
              </w:rPr>
            </w:pPr>
            <w:r>
              <w:rPr>
                <w:rFonts w:hint="eastAsia"/>
                <w:b/>
                <w:bCs/>
                <w:szCs w:val="21"/>
              </w:rPr>
              <w:t>售后服务</w:t>
            </w:r>
          </w:p>
        </w:tc>
        <w:tc>
          <w:tcPr>
            <w:tcW w:w="5653" w:type="dxa"/>
            <w:vAlign w:val="top"/>
          </w:tcPr>
          <w:p>
            <w:pPr>
              <w:rPr>
                <w:rFonts w:hint="eastAsia" w:ascii="宋体" w:hAnsi="宋体" w:eastAsiaTheme="minorEastAsia" w:cstheme="minorBidi"/>
                <w:color w:val="000000"/>
                <w:kern w:val="2"/>
                <w:sz w:val="18"/>
                <w:szCs w:val="18"/>
                <w:lang w:val="en-US" w:eastAsia="zh-CN" w:bidi="ar-SA"/>
              </w:rPr>
            </w:pPr>
            <w:r>
              <w:rPr>
                <w:rFonts w:hint="eastAsia" w:ascii="宋体" w:hAnsi="宋体" w:eastAsiaTheme="minorEastAsia" w:cstheme="minorBidi"/>
                <w:color w:val="000000"/>
                <w:kern w:val="2"/>
                <w:sz w:val="18"/>
                <w:szCs w:val="18"/>
                <w:lang w:val="en-US" w:eastAsia="zh-CN" w:bidi="ar-SA"/>
              </w:rPr>
              <w:t>1、提供上门安装和培训服务</w:t>
            </w:r>
          </w:p>
          <w:p>
            <w:pPr>
              <w:rPr>
                <w:rFonts w:hint="eastAsia" w:ascii="宋体" w:hAnsi="宋体" w:cs="宋体"/>
                <w:color w:val="323E32"/>
                <w:kern w:val="0"/>
                <w:sz w:val="18"/>
                <w:szCs w:val="18"/>
                <w:lang w:eastAsia="zh-CN"/>
              </w:rPr>
            </w:pPr>
            <w:r>
              <w:rPr>
                <w:rFonts w:hint="eastAsia" w:ascii="宋体" w:hAnsi="宋体" w:eastAsiaTheme="minorEastAsia" w:cstheme="minorBidi"/>
                <w:color w:val="000000"/>
                <w:kern w:val="2"/>
                <w:sz w:val="18"/>
                <w:szCs w:val="18"/>
                <w:lang w:val="en-US" w:eastAsia="zh-CN" w:bidi="ar-SA"/>
              </w:rPr>
              <w:t>2、验收合格后免费保修5年。</w:t>
            </w:r>
          </w:p>
        </w:tc>
        <w:tc>
          <w:tcPr>
            <w:tcW w:w="610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477" w:type="dxa"/>
            <w:shd w:val="clear" w:color="auto" w:fill="FFFFFF"/>
            <w:vAlign w:val="center"/>
          </w:tcPr>
          <w:p>
            <w:pPr>
              <w:widowControl/>
              <w:spacing w:line="240" w:lineRule="atLeast"/>
              <w:jc w:val="left"/>
              <w:textAlignment w:val="center"/>
              <w:rPr>
                <w:rFonts w:hint="eastAsia"/>
                <w:b/>
                <w:bCs/>
                <w:szCs w:val="21"/>
              </w:rPr>
            </w:pPr>
            <w:r>
              <w:rPr>
                <w:rFonts w:hint="eastAsia"/>
                <w:b/>
                <w:bCs/>
                <w:szCs w:val="21"/>
                <w:lang w:eastAsia="zh-CN"/>
              </w:rPr>
              <w:t>付款方式说明</w:t>
            </w:r>
          </w:p>
        </w:tc>
        <w:tc>
          <w:tcPr>
            <w:tcW w:w="5653" w:type="dxa"/>
            <w:vAlign w:val="top"/>
          </w:tcPr>
          <w:p>
            <w:pPr>
              <w:ind w:firstLine="180" w:firstLineChars="100"/>
              <w:rPr>
                <w:rFonts w:hint="eastAsia" w:ascii="宋体" w:hAnsi="宋体" w:cs="宋体"/>
                <w:color w:val="323E32"/>
                <w:kern w:val="0"/>
                <w:sz w:val="18"/>
                <w:szCs w:val="18"/>
              </w:rPr>
            </w:pPr>
            <w:r>
              <w:rPr>
                <w:rFonts w:hint="eastAsia" w:ascii="宋体" w:hAnsi="宋体" w:eastAsiaTheme="minorEastAsia" w:cstheme="minorBidi"/>
                <w:color w:val="000000"/>
                <w:kern w:val="2"/>
                <w:sz w:val="18"/>
                <w:szCs w:val="18"/>
                <w:lang w:val="en-US" w:eastAsia="zh-CN" w:bidi="ar-SA"/>
              </w:rPr>
              <w:t>货物安装调试并验收合格后中标方向我院提供100%的货款正规含税发票，学院支付95%的设备价款，余下的5％设备价款作为售后服务保证金，该保证金若货物验收合格之日起满一年后无质量和售后服务问题一次性无息退还。</w:t>
            </w:r>
          </w:p>
        </w:tc>
        <w:tc>
          <w:tcPr>
            <w:tcW w:w="610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bl>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《规格响应表》填写须知：</w:t>
      </w:r>
    </w:p>
    <w:p>
      <w:pPr>
        <w:spacing w:line="240" w:lineRule="atLeast"/>
        <w:ind w:firstLine="360" w:firstLineChars="20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bCs w:val="0"/>
          <w:i w:val="0"/>
          <w:caps w:val="0"/>
          <w:color w:val="auto"/>
          <w:spacing w:val="0"/>
          <w:kern w:val="0"/>
          <w:sz w:val="18"/>
          <w:szCs w:val="18"/>
          <w:shd w:val="clear" w:color="auto" w:fill="auto"/>
          <w:vertAlign w:val="baseline"/>
          <w:lang w:val="en-US" w:eastAsia="zh-CN" w:bidi="ar"/>
        </w:rPr>
        <w:t>1、供货商必须将自己所投产品或服务真实、准确填写“</w:t>
      </w:r>
      <w:r>
        <w:rPr>
          <w:rFonts w:hint="eastAsia" w:ascii="宋体" w:hAnsi="宋体" w:eastAsia="宋体" w:cs="宋体"/>
          <w:b w:val="0"/>
          <w:i w:val="0"/>
          <w:caps w:val="0"/>
          <w:color w:val="000000"/>
          <w:spacing w:val="0"/>
          <w:sz w:val="18"/>
          <w:szCs w:val="18"/>
        </w:rPr>
        <w:t>供应商所投产品的规格、参数</w:t>
      </w:r>
      <w:r>
        <w:rPr>
          <w:rFonts w:hint="eastAsia" w:ascii="宋体" w:hAnsi="宋体" w:eastAsia="宋体" w:cs="宋体"/>
          <w:b w:val="0"/>
          <w:bCs w:val="0"/>
          <w:i w:val="0"/>
          <w:caps w:val="0"/>
          <w:color w:val="auto"/>
          <w:spacing w:val="0"/>
          <w:kern w:val="0"/>
          <w:sz w:val="18"/>
          <w:szCs w:val="18"/>
          <w:shd w:val="clear" w:color="auto" w:fill="auto"/>
          <w:vertAlign w:val="baseline"/>
          <w:lang w:val="en-US" w:eastAsia="zh-CN" w:bidi="ar"/>
        </w:rPr>
        <w:t>”、“</w:t>
      </w:r>
      <w:r>
        <w:rPr>
          <w:rFonts w:hint="eastAsia" w:ascii="宋体" w:hAnsi="宋体" w:eastAsia="宋体" w:cs="宋体"/>
          <w:b w:val="0"/>
          <w:i w:val="0"/>
          <w:caps w:val="0"/>
          <w:color w:val="000000"/>
          <w:spacing w:val="0"/>
          <w:sz w:val="18"/>
          <w:szCs w:val="18"/>
        </w:rPr>
        <w:t>响应情况</w:t>
      </w:r>
      <w:r>
        <w:rPr>
          <w:rFonts w:hint="eastAsia" w:ascii="宋体" w:hAnsi="宋体" w:eastAsia="宋体" w:cs="宋体"/>
          <w:b w:val="0"/>
          <w:bCs w:val="0"/>
          <w:i w:val="0"/>
          <w:caps w:val="0"/>
          <w:color w:val="auto"/>
          <w:spacing w:val="0"/>
          <w:kern w:val="0"/>
          <w:sz w:val="18"/>
          <w:szCs w:val="18"/>
          <w:shd w:val="clear" w:color="auto" w:fill="auto"/>
          <w:vertAlign w:val="baseline"/>
          <w:lang w:val="en-US" w:eastAsia="zh-CN" w:bidi="ar"/>
        </w:rPr>
        <w:t>”</w:t>
      </w:r>
      <w:r>
        <w:rPr>
          <w:rFonts w:hint="eastAsia" w:ascii="宋体" w:hAnsi="宋体" w:eastAsia="宋体" w:cs="宋体"/>
          <w:b w:val="0"/>
          <w:i w:val="0"/>
          <w:caps w:val="0"/>
          <w:color w:val="000000"/>
          <w:spacing w:val="0"/>
          <w:sz w:val="18"/>
          <w:szCs w:val="18"/>
          <w:lang w:eastAsia="zh-CN"/>
        </w:rPr>
        <w:t>（正偏离、无偏离、负偏离）</w:t>
      </w:r>
      <w:r>
        <w:rPr>
          <w:rFonts w:hint="eastAsia" w:ascii="宋体" w:hAnsi="宋体" w:eastAsia="宋体" w:cs="宋体"/>
          <w:b w:val="0"/>
          <w:i w:val="0"/>
          <w:caps w:val="0"/>
          <w:color w:val="000000"/>
          <w:spacing w:val="0"/>
          <w:sz w:val="18"/>
          <w:szCs w:val="18"/>
          <w:lang w:val="en-US" w:eastAsia="zh-CN"/>
        </w:rPr>
        <w:t>。</w:t>
      </w:r>
    </w:p>
    <w:p>
      <w:pPr>
        <w:spacing w:line="240" w:lineRule="atLeast"/>
        <w:ind w:firstLine="360" w:firstLineChars="200"/>
        <w:jc w:val="left"/>
        <w:rPr>
          <w:rFonts w:hint="eastAsia" w:ascii="宋体" w:hAnsi="宋体" w:eastAsia="宋体" w:cs="宋体"/>
          <w:b w:val="0"/>
          <w:bCs w:val="0"/>
          <w:i w:val="0"/>
          <w:caps w:val="0"/>
          <w:color w:val="FF0000"/>
          <w:spacing w:val="0"/>
          <w:kern w:val="0"/>
          <w:sz w:val="18"/>
          <w:szCs w:val="18"/>
          <w:shd w:val="clear" w:color="auto" w:fill="auto"/>
          <w:vertAlign w:val="baseline"/>
          <w:lang w:val="en-US" w:eastAsia="zh-CN" w:bidi="ar"/>
        </w:rPr>
      </w:pPr>
      <w:r>
        <w:rPr>
          <w:rFonts w:hint="eastAsia" w:ascii="宋体" w:hAnsi="宋体" w:eastAsia="宋体" w:cs="宋体"/>
          <w:b w:val="0"/>
          <w:i w:val="0"/>
          <w:caps w:val="0"/>
          <w:color w:val="000000"/>
          <w:spacing w:val="0"/>
          <w:sz w:val="18"/>
          <w:szCs w:val="18"/>
          <w:lang w:val="en-US" w:eastAsia="zh-CN"/>
        </w:rPr>
        <w:t>2、根据自己所投产品与“</w:t>
      </w:r>
      <w:r>
        <w:rPr>
          <w:rFonts w:hint="eastAsia" w:ascii="宋体" w:hAnsi="宋体" w:eastAsia="宋体" w:cs="宋体"/>
          <w:b w:val="0"/>
          <w:i w:val="0"/>
          <w:caps w:val="0"/>
          <w:color w:val="000000"/>
          <w:spacing w:val="0"/>
          <w:sz w:val="18"/>
          <w:szCs w:val="18"/>
        </w:rPr>
        <w:t>询价采购文件规定的规格、参数</w:t>
      </w:r>
      <w:r>
        <w:rPr>
          <w:rFonts w:hint="eastAsia" w:ascii="宋体" w:hAnsi="宋体" w:eastAsia="宋体" w:cs="宋体"/>
          <w:b w:val="0"/>
          <w:i w:val="0"/>
          <w:caps w:val="0"/>
          <w:color w:val="000000"/>
          <w:spacing w:val="0"/>
          <w:sz w:val="18"/>
          <w:szCs w:val="18"/>
          <w:lang w:val="en-US" w:eastAsia="zh-CN"/>
        </w:rPr>
        <w:t>”的差异情况，实事求是地填写“响应情况”（</w:t>
      </w:r>
      <w:r>
        <w:rPr>
          <w:rFonts w:hint="eastAsia" w:ascii="宋体" w:hAnsi="宋体" w:eastAsia="宋体" w:cs="宋体"/>
          <w:b w:val="0"/>
          <w:i w:val="0"/>
          <w:caps w:val="0"/>
          <w:color w:val="000000"/>
          <w:spacing w:val="0"/>
          <w:sz w:val="18"/>
          <w:szCs w:val="18"/>
          <w:lang w:eastAsia="zh-CN"/>
        </w:rPr>
        <w:t>正偏离、无偏离、负偏离</w:t>
      </w:r>
      <w:r>
        <w:rPr>
          <w:rFonts w:hint="eastAsia" w:ascii="宋体" w:hAnsi="宋体" w:eastAsia="宋体" w:cs="宋体"/>
          <w:b w:val="0"/>
          <w:i w:val="0"/>
          <w:caps w:val="0"/>
          <w:color w:val="000000"/>
          <w:spacing w:val="0"/>
          <w:sz w:val="18"/>
          <w:szCs w:val="18"/>
          <w:lang w:val="en-US" w:eastAsia="zh-CN"/>
        </w:rPr>
        <w:t>），并</w:t>
      </w:r>
      <w:r>
        <w:rPr>
          <w:rFonts w:hint="eastAsia" w:ascii="宋体" w:hAnsi="宋体" w:eastAsia="宋体" w:cs="宋体"/>
          <w:b w:val="0"/>
          <w:bCs w:val="0"/>
          <w:i w:val="0"/>
          <w:caps w:val="0"/>
          <w:color w:val="auto"/>
          <w:spacing w:val="0"/>
          <w:kern w:val="0"/>
          <w:sz w:val="18"/>
          <w:szCs w:val="18"/>
          <w:shd w:val="clear" w:color="auto" w:fill="auto"/>
          <w:vertAlign w:val="baseline"/>
          <w:lang w:val="en-US" w:eastAsia="zh-CN" w:bidi="ar"/>
        </w:rPr>
        <w:t>将这些差异内容用加粗的字体显示出来，</w:t>
      </w:r>
      <w:r>
        <w:rPr>
          <w:rFonts w:hint="eastAsia" w:ascii="宋体" w:hAnsi="宋体" w:eastAsia="宋体" w:cs="宋体"/>
          <w:b w:val="0"/>
          <w:bCs w:val="0"/>
          <w:i w:val="0"/>
          <w:caps w:val="0"/>
          <w:color w:val="FF0000"/>
          <w:spacing w:val="0"/>
          <w:kern w:val="0"/>
          <w:sz w:val="18"/>
          <w:szCs w:val="18"/>
          <w:shd w:val="clear" w:color="auto" w:fill="auto"/>
          <w:vertAlign w:val="baseline"/>
          <w:lang w:val="en-US" w:eastAsia="zh-CN" w:bidi="ar"/>
        </w:rPr>
        <w:t>任何规格参数出现负偏离则视为无效投标。</w:t>
      </w:r>
    </w:p>
    <w:p>
      <w:pPr>
        <w:spacing w:line="240" w:lineRule="atLeast"/>
        <w:ind w:firstLine="360" w:firstLineChars="200"/>
        <w:jc w:val="left"/>
        <w:rPr>
          <w:rFonts w:hint="eastAsia" w:ascii="宋体" w:hAnsi="宋体" w:eastAsia="宋体" w:cs="宋体"/>
          <w:b w:val="0"/>
          <w:bCs w:val="0"/>
          <w:i w:val="0"/>
          <w:caps w:val="0"/>
          <w:color w:val="auto"/>
          <w:spacing w:val="0"/>
          <w:kern w:val="0"/>
          <w:sz w:val="18"/>
          <w:szCs w:val="18"/>
          <w:shd w:val="clear" w:color="auto" w:fill="auto"/>
          <w:vertAlign w:val="baseline"/>
          <w:lang w:val="en-US" w:eastAsia="zh-CN" w:bidi="ar"/>
        </w:rPr>
      </w:pPr>
      <w:r>
        <w:rPr>
          <w:rFonts w:hint="eastAsia" w:ascii="宋体" w:hAnsi="宋体" w:eastAsia="宋体" w:cs="宋体"/>
          <w:b w:val="0"/>
          <w:bCs w:val="0"/>
          <w:i w:val="0"/>
          <w:caps w:val="0"/>
          <w:color w:val="auto"/>
          <w:spacing w:val="0"/>
          <w:kern w:val="0"/>
          <w:sz w:val="18"/>
          <w:szCs w:val="18"/>
          <w:shd w:val="clear" w:color="auto" w:fill="auto"/>
          <w:vertAlign w:val="baseline"/>
          <w:lang w:val="en-US" w:eastAsia="zh-CN" w:bidi="ar"/>
        </w:rPr>
        <w:t>3、供应商必须填写售后服务及售后服务响应情况；付款方式说明为告知内容可不填写。</w:t>
      </w: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r>
        <w:rPr>
          <w:rFonts w:hint="eastAsia"/>
          <w:b/>
          <w:bCs/>
          <w:color w:val="auto"/>
          <w:sz w:val="28"/>
          <w:szCs w:val="28"/>
        </w:rPr>
        <w:t>报价一览表</w:t>
      </w:r>
    </w:p>
    <w:p>
      <w:pPr>
        <w:widowControl/>
        <w:spacing w:before="180" w:line="345" w:lineRule="atLeast"/>
        <w:jc w:val="left"/>
        <w:rPr>
          <w:rFonts w:hint="eastAsia" w:ascii="宋体" w:hAnsi="宋体"/>
        </w:rPr>
      </w:pPr>
    </w:p>
    <w:tbl>
      <w:tblPr>
        <w:tblStyle w:val="9"/>
        <w:tblpPr w:leftFromText="180" w:rightFromText="180" w:vertAnchor="text" w:horzAnchor="page" w:tblpX="3118" w:tblpY="-28"/>
        <w:tblOverlap w:val="never"/>
        <w:tblW w:w="108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27"/>
        <w:gridCol w:w="4749"/>
        <w:gridCol w:w="570"/>
        <w:gridCol w:w="1335"/>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9" w:hRule="atLeast"/>
          <w:jc w:val="center"/>
        </w:trPr>
        <w:tc>
          <w:tcPr>
            <w:tcW w:w="69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序号</w:t>
            </w:r>
          </w:p>
        </w:tc>
        <w:tc>
          <w:tcPr>
            <w:tcW w:w="2227"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询价项目名称</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报价货物品</w:t>
            </w:r>
            <w:bookmarkStart w:id="0" w:name="_GoBack"/>
            <w:bookmarkEnd w:id="0"/>
            <w:r>
              <w:rPr>
                <w:rFonts w:hint="eastAsia" w:ascii="宋体" w:hAnsi="宋体" w:eastAsia="宋体" w:cs="宋体"/>
                <w:b/>
                <w:bCs/>
                <w:color w:val="444444"/>
                <w:kern w:val="0"/>
                <w:sz w:val="21"/>
                <w:szCs w:val="21"/>
                <w:lang w:eastAsia="zh-CN"/>
              </w:rPr>
              <w:t>牌、型号</w:t>
            </w:r>
            <w:r>
              <w:rPr>
                <w:rFonts w:hint="eastAsia" w:ascii="宋体" w:hAnsi="宋体" w:eastAsia="宋体" w:cs="宋体"/>
                <w:b/>
                <w:bCs/>
                <w:color w:val="444444"/>
                <w:kern w:val="0"/>
                <w:sz w:val="21"/>
                <w:szCs w:val="21"/>
                <w:lang w:val="en-US" w:eastAsia="zh-CN"/>
              </w:rPr>
              <w:t>、</w:t>
            </w:r>
            <w:r>
              <w:rPr>
                <w:rFonts w:hint="eastAsia" w:ascii="宋体" w:hAnsi="宋体" w:eastAsia="宋体" w:cs="宋体"/>
                <w:b/>
                <w:bCs/>
                <w:color w:val="444444"/>
                <w:kern w:val="0"/>
                <w:sz w:val="21"/>
                <w:szCs w:val="21"/>
                <w:lang w:eastAsia="zh-CN"/>
              </w:rPr>
              <w:t>售后服务</w:t>
            </w:r>
          </w:p>
        </w:tc>
        <w:tc>
          <w:tcPr>
            <w:tcW w:w="57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数量</w:t>
            </w:r>
          </w:p>
        </w:tc>
        <w:tc>
          <w:tcPr>
            <w:tcW w:w="1335"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采购控制价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c>
          <w:tcPr>
            <w:tcW w:w="129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投标人报价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1</w:t>
            </w:r>
          </w:p>
        </w:tc>
        <w:tc>
          <w:tcPr>
            <w:tcW w:w="2227" w:type="dxa"/>
            <w:shd w:val="clear" w:color="auto" w:fill="FFFFFF"/>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color w:val="000000"/>
                <w:szCs w:val="21"/>
              </w:rPr>
              <w:t>手摇升降解剖台</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57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2套</w:t>
            </w:r>
          </w:p>
        </w:tc>
        <w:tc>
          <w:tcPr>
            <w:tcW w:w="1335"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25000</w:t>
            </w:r>
          </w:p>
        </w:tc>
        <w:tc>
          <w:tcPr>
            <w:tcW w:w="129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0870" w:type="dxa"/>
            <w:gridSpan w:val="6"/>
            <w:shd w:val="clear" w:color="auto" w:fill="auto"/>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rPr>
              <w:t xml:space="preserve">总报价：（大写）     拾      万      仟     佰     拾     元     角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0870" w:type="dxa"/>
            <w:gridSpan w:val="6"/>
            <w:shd w:val="clear" w:color="auto" w:fill="auto"/>
          </w:tcPr>
          <w:p>
            <w:pPr>
              <w:widowControl/>
              <w:spacing w:before="180" w:line="345" w:lineRule="atLeast"/>
              <w:jc w:val="left"/>
              <w:rPr>
                <w:rFonts w:hint="eastAsia" w:ascii="宋体" w:hAnsi="宋体"/>
              </w:rPr>
            </w:pPr>
            <w:r>
              <w:rPr>
                <w:rFonts w:hint="eastAsia" w:ascii="宋体" w:hAnsi="宋体"/>
                <w:lang w:eastAsia="zh-CN"/>
              </w:rPr>
              <w:t>投</w:t>
            </w:r>
            <w:r>
              <w:rPr>
                <w:rFonts w:hint="eastAsia" w:ascii="宋体" w:hAnsi="宋体"/>
              </w:rPr>
              <w:t>标人代表</w:t>
            </w:r>
            <w:r>
              <w:rPr>
                <w:rFonts w:hint="eastAsia" w:ascii="宋体" w:hAnsi="宋体"/>
                <w:lang w:eastAsia="zh-CN"/>
              </w:rPr>
              <w:t>签字</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时间：二○一七年   月   日</w:t>
            </w:r>
          </w:p>
        </w:tc>
      </w:tr>
    </w:tbl>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《报价一览表》填写须知：</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w:t>
      </w:r>
      <w:r>
        <w:rPr>
          <w:rFonts w:hint="eastAsia" w:ascii="宋体" w:hAnsi="宋体" w:eastAsia="宋体" w:cs="宋体"/>
          <w:b/>
          <w:bCs/>
          <w:color w:val="444444"/>
          <w:kern w:val="0"/>
          <w:sz w:val="21"/>
          <w:szCs w:val="21"/>
          <w:lang w:eastAsia="zh-CN"/>
        </w:rPr>
        <w:t>《报价一览表》的报价为最终报价，不允许二次报价或对报价进行修改。</w:t>
      </w:r>
    </w:p>
    <w:p>
      <w:pPr>
        <w:widowControl/>
        <w:spacing w:before="180" w:line="345" w:lineRule="atLeast"/>
        <w:jc w:val="left"/>
        <w:rPr>
          <w:rFonts w:hint="eastAsia" w:ascii="宋体" w:hAnsi="宋体" w:eastAsia="宋体" w:cs="宋体"/>
          <w:b/>
          <w:bCs/>
          <w:color w:val="FF0000"/>
          <w:kern w:val="0"/>
          <w:sz w:val="21"/>
          <w:szCs w:val="21"/>
          <w:lang w:val="en-US" w:eastAsia="zh-CN"/>
        </w:rPr>
      </w:pPr>
      <w:r>
        <w:rPr>
          <w:rFonts w:hint="eastAsia" w:ascii="宋体" w:hAnsi="宋体" w:eastAsia="宋体" w:cs="宋体"/>
          <w:b/>
          <w:bCs/>
          <w:color w:val="FF0000"/>
          <w:kern w:val="0"/>
          <w:sz w:val="21"/>
          <w:szCs w:val="21"/>
          <w:lang w:val="en-US" w:eastAsia="zh-CN"/>
        </w:rPr>
        <w:t>3.《报价一览表》中各项报价不得高于采购控制价，报价高于采购控制价的均视为无效投标。</w:t>
      </w:r>
    </w:p>
    <w:p>
      <w:pPr>
        <w:widowControl/>
        <w:spacing w:before="180" w:line="345" w:lineRule="atLeast"/>
        <w:jc w:val="left"/>
        <w:rPr>
          <w:rFonts w:hint="eastAsia" w:ascii="宋体" w:hAnsi="宋体"/>
        </w:rPr>
      </w:pPr>
    </w:p>
    <w:sectPr>
      <w:pgSz w:w="16838" w:h="11906" w:orient="landscape"/>
      <w:pgMar w:top="760" w:right="1440" w:bottom="56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roma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Segoe UI Symbol">
    <w:altName w:val="Segoe UI"/>
    <w:panose1 w:val="020B0502040204020203"/>
    <w:charset w:val="00"/>
    <w:family w:val="swiss"/>
    <w:pitch w:val="default"/>
    <w:sig w:usb0="00000000" w:usb1="00000000" w:usb2="00040000" w:usb3="00000000" w:csb0="00000001" w:csb1="00000000"/>
  </w:font>
  <w:font w:name="Segoe UI">
    <w:panose1 w:val="020B0502040204020203"/>
    <w:charset w:val="00"/>
    <w:family w:val="auto"/>
    <w:pitch w:val="default"/>
    <w:sig w:usb0="E00022FF" w:usb1="C000205B" w:usb2="00000009" w:usb3="00000000" w:csb0="200001DF" w:csb1="20080000"/>
  </w:font>
  <w:font w:name="Verdana">
    <w:panose1 w:val="020B0604030504040204"/>
    <w:charset w:val="00"/>
    <w:family w:val="swiss"/>
    <w:pitch w:val="default"/>
    <w:sig w:usb0="00000287" w:usb1="00000000"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00007A87" w:usb1="80000000" w:usb2="00000008" w:usb3="00000000" w:csb0="400001FF" w:csb1="FFFF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CG Times">
    <w:altName w:val="Times New Roman"/>
    <w:panose1 w:val="00000000000000000000"/>
    <w:charset w:val="00"/>
    <w:family w:val="roma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080E0000" w:usb2="00000000" w:usb3="00000000" w:csb0="00040001" w:csb1="00000000"/>
  </w:font>
  <w:font w:name="_5b8b_4f53">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2043FCF"/>
    <w:rsid w:val="024E258E"/>
    <w:rsid w:val="02CE3CE3"/>
    <w:rsid w:val="03837B83"/>
    <w:rsid w:val="03BE128D"/>
    <w:rsid w:val="03D40AAB"/>
    <w:rsid w:val="04686E69"/>
    <w:rsid w:val="048A3EFA"/>
    <w:rsid w:val="0BEC35F6"/>
    <w:rsid w:val="0BF875A1"/>
    <w:rsid w:val="0C3A749E"/>
    <w:rsid w:val="0C4C7F8B"/>
    <w:rsid w:val="0E537B47"/>
    <w:rsid w:val="0FF06B03"/>
    <w:rsid w:val="10CB10AB"/>
    <w:rsid w:val="112C7FDD"/>
    <w:rsid w:val="11A46471"/>
    <w:rsid w:val="12D033C2"/>
    <w:rsid w:val="13E41DD4"/>
    <w:rsid w:val="15583548"/>
    <w:rsid w:val="15F60B85"/>
    <w:rsid w:val="166A47DF"/>
    <w:rsid w:val="16AD613F"/>
    <w:rsid w:val="180145C5"/>
    <w:rsid w:val="195A4546"/>
    <w:rsid w:val="197628A4"/>
    <w:rsid w:val="19F33F76"/>
    <w:rsid w:val="1A347C37"/>
    <w:rsid w:val="1BAB54AC"/>
    <w:rsid w:val="1D293B6D"/>
    <w:rsid w:val="1D3C473A"/>
    <w:rsid w:val="1E161604"/>
    <w:rsid w:val="1EC9096B"/>
    <w:rsid w:val="1ED8629B"/>
    <w:rsid w:val="212360FB"/>
    <w:rsid w:val="21F541B0"/>
    <w:rsid w:val="244C6003"/>
    <w:rsid w:val="256C64BF"/>
    <w:rsid w:val="26D14F47"/>
    <w:rsid w:val="27124107"/>
    <w:rsid w:val="277213F8"/>
    <w:rsid w:val="288621D9"/>
    <w:rsid w:val="28E8281A"/>
    <w:rsid w:val="297C0405"/>
    <w:rsid w:val="29B328FB"/>
    <w:rsid w:val="29CB4FB8"/>
    <w:rsid w:val="29EC39E8"/>
    <w:rsid w:val="2A1A16EB"/>
    <w:rsid w:val="2B480659"/>
    <w:rsid w:val="2C0815D1"/>
    <w:rsid w:val="2E6A72D7"/>
    <w:rsid w:val="31F82ADC"/>
    <w:rsid w:val="325241F7"/>
    <w:rsid w:val="33806566"/>
    <w:rsid w:val="343A30A6"/>
    <w:rsid w:val="34FB094B"/>
    <w:rsid w:val="366E11ED"/>
    <w:rsid w:val="38274C0F"/>
    <w:rsid w:val="38393E34"/>
    <w:rsid w:val="384A3254"/>
    <w:rsid w:val="38702123"/>
    <w:rsid w:val="3B822710"/>
    <w:rsid w:val="3DD36A73"/>
    <w:rsid w:val="3E134C87"/>
    <w:rsid w:val="3E4B5097"/>
    <w:rsid w:val="3E6F1FA6"/>
    <w:rsid w:val="3EAE2061"/>
    <w:rsid w:val="3F0D1FA4"/>
    <w:rsid w:val="3F252173"/>
    <w:rsid w:val="421A7168"/>
    <w:rsid w:val="4500717D"/>
    <w:rsid w:val="462B6795"/>
    <w:rsid w:val="46EF0183"/>
    <w:rsid w:val="48510FAB"/>
    <w:rsid w:val="48D5715C"/>
    <w:rsid w:val="48F17334"/>
    <w:rsid w:val="48F3368E"/>
    <w:rsid w:val="494C0D39"/>
    <w:rsid w:val="49850959"/>
    <w:rsid w:val="4A2C00BC"/>
    <w:rsid w:val="4BC8308A"/>
    <w:rsid w:val="4BEF7875"/>
    <w:rsid w:val="4CB4349A"/>
    <w:rsid w:val="4DB37839"/>
    <w:rsid w:val="4E6D4DA5"/>
    <w:rsid w:val="4FC56086"/>
    <w:rsid w:val="50B46857"/>
    <w:rsid w:val="51C50B10"/>
    <w:rsid w:val="52E95B48"/>
    <w:rsid w:val="535C288C"/>
    <w:rsid w:val="53BF7E2B"/>
    <w:rsid w:val="54C34438"/>
    <w:rsid w:val="550347C5"/>
    <w:rsid w:val="55111B2A"/>
    <w:rsid w:val="55194A10"/>
    <w:rsid w:val="560E6E69"/>
    <w:rsid w:val="56756547"/>
    <w:rsid w:val="587777E3"/>
    <w:rsid w:val="58846FE7"/>
    <w:rsid w:val="58D273D4"/>
    <w:rsid w:val="5B873C80"/>
    <w:rsid w:val="5C3F10CD"/>
    <w:rsid w:val="5C5315AD"/>
    <w:rsid w:val="5CDD2189"/>
    <w:rsid w:val="5D496B43"/>
    <w:rsid w:val="5FC82F44"/>
    <w:rsid w:val="60451E2C"/>
    <w:rsid w:val="62CD0F8D"/>
    <w:rsid w:val="63261CEA"/>
    <w:rsid w:val="63B32525"/>
    <w:rsid w:val="63D42D01"/>
    <w:rsid w:val="6706137C"/>
    <w:rsid w:val="673208DA"/>
    <w:rsid w:val="67C57B88"/>
    <w:rsid w:val="68092A31"/>
    <w:rsid w:val="6983772C"/>
    <w:rsid w:val="69E927C6"/>
    <w:rsid w:val="6A417029"/>
    <w:rsid w:val="6B160DE7"/>
    <w:rsid w:val="6CB42952"/>
    <w:rsid w:val="6CB44F64"/>
    <w:rsid w:val="6D191EB7"/>
    <w:rsid w:val="6FC02034"/>
    <w:rsid w:val="70C11A75"/>
    <w:rsid w:val="70D90FCF"/>
    <w:rsid w:val="71BB4F85"/>
    <w:rsid w:val="72D37BE8"/>
    <w:rsid w:val="730F411E"/>
    <w:rsid w:val="748D5776"/>
    <w:rsid w:val="753F4981"/>
    <w:rsid w:val="75514BEB"/>
    <w:rsid w:val="772338A8"/>
    <w:rsid w:val="7822047E"/>
    <w:rsid w:val="79071F8D"/>
    <w:rsid w:val="7AE96229"/>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FollowedHyperlink"/>
    <w:basedOn w:val="6"/>
    <w:unhideWhenUsed/>
    <w:qFormat/>
    <w:uiPriority w:val="99"/>
    <w:rPr>
      <w:color w:val="000000"/>
      <w:u w:val="none"/>
    </w:rPr>
  </w:style>
  <w:style w:type="character" w:styleId="8">
    <w:name w:val="Hyperlink"/>
    <w:basedOn w:val="6"/>
    <w:unhideWhenUsed/>
    <w:qFormat/>
    <w:uiPriority w:val="99"/>
    <w:rPr>
      <w:color w:val="000000"/>
      <w:u w:val="none"/>
    </w:r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 w:type="paragraph" w:customStyle="1" w:styleId="12">
    <w:name w:val="List Paragraph"/>
    <w:basedOn w:val="1"/>
    <w:qFormat/>
    <w:uiPriority w:val="34"/>
    <w:pPr>
      <w:ind w:firstLine="420" w:firstLineChars="200"/>
    </w:pPr>
  </w:style>
  <w:style w:type="paragraph" w:customStyle="1" w:styleId="13">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4">
    <w:name w:val="apple-converted-space"/>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ScaleCrop>false</ScaleCrop>
  <LinksUpToDate>false</LinksUpToDate>
  <CharactersWithSpaces>2869</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dcterms:modified xsi:type="dcterms:W3CDTF">2017-11-19T06:44:20Z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