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numPr>
          <w:ilvl w:val="0"/>
          <w:numId w:val="0"/>
        </w:numPr>
        <w:spacing w:before="100" w:beforeAutospacing="1" w:after="100" w:afterAutospacing="1" w:line="360" w:lineRule="auto"/>
        <w:jc w:val="center"/>
        <w:rPr>
          <w:rFonts w:hint="eastAsia"/>
          <w:szCs w:val="24"/>
        </w:rPr>
      </w:pPr>
      <w:r>
        <w:rPr>
          <w:rFonts w:hint="eastAsia" w:ascii="宋体" w:hAnsi="宋体" w:eastAsia="宋体" w:cs="宋体"/>
          <w:b/>
          <w:bCs/>
          <w:kern w:val="0"/>
          <w:szCs w:val="21"/>
          <w:lang w:eastAsia="zh-CN"/>
        </w:rPr>
        <w:t>包</w:t>
      </w:r>
      <w:r>
        <w:rPr>
          <w:rFonts w:hint="eastAsia" w:ascii="宋体" w:hAnsi="宋体" w:eastAsia="宋体" w:cs="宋体"/>
          <w:b/>
          <w:bCs/>
          <w:kern w:val="0"/>
          <w:szCs w:val="21"/>
          <w:lang w:val="en-US" w:eastAsia="zh-CN"/>
        </w:rPr>
        <w:t>1</w:t>
      </w:r>
      <w:r>
        <w:rPr>
          <w:rFonts w:ascii="宋体" w:hAnsi="宋体" w:eastAsia="宋体" w:cs="宋体"/>
          <w:b/>
          <w:bCs/>
          <w:kern w:val="0"/>
          <w:szCs w:val="21"/>
        </w:rPr>
        <w:t>询价内容</w:t>
      </w:r>
      <w:r>
        <w:rPr>
          <w:rFonts w:hint="eastAsia" w:ascii="宋体" w:hAnsi="宋体" w:eastAsia="宋体" w:cs="宋体"/>
          <w:b/>
          <w:bCs/>
          <w:kern w:val="0"/>
          <w:szCs w:val="21"/>
        </w:rPr>
        <w:t>及</w:t>
      </w:r>
      <w:r>
        <w:rPr>
          <w:rFonts w:ascii="宋体" w:hAnsi="宋体" w:eastAsia="宋体" w:cs="宋体"/>
          <w:b/>
          <w:bCs/>
          <w:kern w:val="0"/>
          <w:szCs w:val="21"/>
        </w:rPr>
        <w:t>要求</w:t>
      </w:r>
    </w:p>
    <w:tbl>
      <w:tblPr>
        <w:tblStyle w:val="9"/>
        <w:tblW w:w="11055"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1395"/>
        <w:gridCol w:w="7680"/>
        <w:gridCol w:w="525"/>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5" w:hRule="atLeast"/>
        </w:trPr>
        <w:tc>
          <w:tcPr>
            <w:tcW w:w="555" w:type="dxa"/>
            <w:vAlign w:val="center"/>
          </w:tcPr>
          <w:p>
            <w:pPr>
              <w:spacing w:line="240" w:lineRule="atLeast"/>
              <w:jc w:val="both"/>
              <w:rPr>
                <w:szCs w:val="24"/>
              </w:rPr>
            </w:pPr>
            <w:r>
              <w:rPr>
                <w:rFonts w:hint="eastAsia"/>
                <w:szCs w:val="24"/>
              </w:rPr>
              <w:t>序号</w:t>
            </w:r>
          </w:p>
        </w:tc>
        <w:tc>
          <w:tcPr>
            <w:tcW w:w="1395" w:type="dxa"/>
            <w:vAlign w:val="center"/>
          </w:tcPr>
          <w:p>
            <w:pPr>
              <w:spacing w:line="240" w:lineRule="atLeast"/>
              <w:jc w:val="center"/>
              <w:rPr>
                <w:szCs w:val="24"/>
              </w:rPr>
            </w:pPr>
            <w:r>
              <w:rPr>
                <w:rFonts w:hint="eastAsia"/>
                <w:szCs w:val="24"/>
              </w:rPr>
              <w:t>采购项目名称</w:t>
            </w:r>
          </w:p>
        </w:tc>
        <w:tc>
          <w:tcPr>
            <w:tcW w:w="7680" w:type="dxa"/>
            <w:vAlign w:val="center"/>
          </w:tcPr>
          <w:p>
            <w:pPr>
              <w:spacing w:line="240" w:lineRule="atLeast"/>
              <w:ind w:firstLine="3990" w:firstLineChars="1900"/>
              <w:jc w:val="both"/>
              <w:rPr>
                <w:rFonts w:hint="eastAsia" w:eastAsiaTheme="minorEastAsia"/>
                <w:szCs w:val="24"/>
                <w:lang w:eastAsia="zh-CN"/>
              </w:rPr>
            </w:pPr>
            <w:r>
              <w:rPr>
                <w:rFonts w:hint="eastAsia"/>
                <w:szCs w:val="24"/>
                <w:lang w:eastAsia="zh-CN"/>
              </w:rPr>
              <w:t>询价内容</w:t>
            </w:r>
          </w:p>
        </w:tc>
        <w:tc>
          <w:tcPr>
            <w:tcW w:w="525" w:type="dxa"/>
            <w:vAlign w:val="center"/>
          </w:tcPr>
          <w:p>
            <w:pPr>
              <w:spacing w:line="240" w:lineRule="atLeast"/>
              <w:jc w:val="center"/>
              <w:rPr>
                <w:szCs w:val="24"/>
              </w:rPr>
            </w:pPr>
            <w:r>
              <w:rPr>
                <w:rFonts w:hint="eastAsia"/>
                <w:szCs w:val="24"/>
              </w:rPr>
              <w:t>数量</w:t>
            </w:r>
          </w:p>
        </w:tc>
        <w:tc>
          <w:tcPr>
            <w:tcW w:w="900" w:type="dxa"/>
            <w:vAlign w:val="center"/>
          </w:tcPr>
          <w:p>
            <w:pPr>
              <w:spacing w:line="240" w:lineRule="atLeast"/>
              <w:jc w:val="center"/>
              <w:rPr>
                <w:szCs w:val="24"/>
              </w:rPr>
            </w:pPr>
            <w:r>
              <w:rPr>
                <w:rFonts w:hint="eastAsia"/>
                <w:szCs w:val="24"/>
                <w:lang w:eastAsia="zh-CN"/>
              </w:rPr>
              <w:t>采购控制价</w:t>
            </w:r>
          </w:p>
          <w:p>
            <w:pPr>
              <w:spacing w:line="240" w:lineRule="atLeast"/>
              <w:jc w:val="center"/>
              <w:rPr>
                <w:szCs w:val="24"/>
              </w:rPr>
            </w:pPr>
            <w:r>
              <w:rPr>
                <w:rFonts w:hint="eastAsia"/>
                <w:szCs w:val="24"/>
              </w:rPr>
              <w:t>（元</w:t>
            </w:r>
            <w:r>
              <w:rPr>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545" w:hRule="atLeast"/>
        </w:trPr>
        <w:tc>
          <w:tcPr>
            <w:tcW w:w="555" w:type="dxa"/>
            <w:shd w:val="clear" w:color="auto" w:fill="auto"/>
            <w:vAlign w:val="center"/>
          </w:tcPr>
          <w:p>
            <w:pPr>
              <w:spacing w:line="240" w:lineRule="atLeast"/>
              <w:jc w:val="center"/>
              <w:rPr>
                <w:szCs w:val="24"/>
              </w:rPr>
            </w:pPr>
            <w:r>
              <w:rPr>
                <w:rFonts w:hint="eastAsia"/>
                <w:szCs w:val="24"/>
              </w:rPr>
              <w:t>1</w:t>
            </w:r>
          </w:p>
        </w:tc>
        <w:tc>
          <w:tcPr>
            <w:tcW w:w="1395" w:type="dxa"/>
            <w:shd w:val="clear" w:color="auto" w:fill="FFFFFF"/>
            <w:vAlign w:val="center"/>
          </w:tcPr>
          <w:p>
            <w:pPr>
              <w:widowControl/>
              <w:spacing w:line="240" w:lineRule="atLeast"/>
              <w:jc w:val="left"/>
              <w:textAlignment w:val="center"/>
              <w:rPr>
                <w:rFonts w:hint="eastAsia" w:eastAsiaTheme="minorEastAsia"/>
                <w:szCs w:val="24"/>
                <w:lang w:eastAsia="zh-CN"/>
              </w:rPr>
            </w:pPr>
            <w:r>
              <w:rPr>
                <w:rFonts w:hint="eastAsia" w:ascii="宋体" w:hAnsi="宋体"/>
                <w:sz w:val="22"/>
              </w:rPr>
              <w:t>营养教学软件</w:t>
            </w:r>
          </w:p>
        </w:tc>
        <w:tc>
          <w:tcPr>
            <w:tcW w:w="7680" w:type="dxa"/>
            <w:vAlign w:val="center"/>
          </w:tcPr>
          <w:p>
            <w:pPr>
              <w:pStyle w:val="5"/>
              <w:spacing w:before="0" w:beforeAutospacing="0" w:after="0" w:afterAutospacing="0"/>
              <w:jc w:val="left"/>
              <w:rPr>
                <w:color w:val="323E32"/>
                <w:sz w:val="18"/>
                <w:szCs w:val="18"/>
              </w:rPr>
            </w:pPr>
            <w:r>
              <w:rPr>
                <w:color w:val="323E32"/>
                <w:sz w:val="18"/>
                <w:szCs w:val="18"/>
              </w:rPr>
              <w:t>一. 常规营养计算与营养配餐：</w:t>
            </w:r>
          </w:p>
          <w:p>
            <w:pPr>
              <w:ind w:firstLine="180" w:firstLineChars="100"/>
              <w:jc w:val="left"/>
              <w:rPr>
                <w:rFonts w:ascii="宋体" w:hAnsi="宋体" w:cs="宋体"/>
                <w:color w:val="323E32"/>
                <w:kern w:val="0"/>
                <w:sz w:val="18"/>
                <w:szCs w:val="18"/>
              </w:rPr>
            </w:pPr>
            <w:r>
              <w:rPr>
                <w:rFonts w:ascii="宋体" w:hAnsi="宋体"/>
                <w:color w:val="323E32"/>
                <w:sz w:val="18"/>
                <w:szCs w:val="18"/>
              </w:rPr>
              <w:t>l</w:t>
            </w:r>
            <w:r>
              <w:rPr>
                <w:rFonts w:ascii="宋体" w:hAnsi="宋体" w:cs="宋体"/>
                <w:color w:val="323E32"/>
                <w:kern w:val="0"/>
                <w:sz w:val="18"/>
                <w:szCs w:val="18"/>
              </w:rPr>
              <w:t>、配制一日及一周的三餐食谱，搭配平衡膳食。2、</w:t>
            </w:r>
            <w:r>
              <w:rPr>
                <w:rFonts w:hint="eastAsia" w:ascii="宋体" w:hAnsi="宋体" w:cs="宋体"/>
                <w:color w:val="323E32"/>
                <w:kern w:val="0"/>
                <w:sz w:val="18"/>
                <w:szCs w:val="18"/>
              </w:rPr>
              <w:t>食物摄入量的计算采用智能化方式，无需自行设定，完全由系统根据配餐者的摄入量标准自动计算生成，也可辅以手工微调。</w:t>
            </w:r>
            <w:r>
              <w:rPr>
                <w:rFonts w:ascii="宋体" w:hAnsi="宋体" w:cs="宋体"/>
                <w:color w:val="323E32"/>
                <w:kern w:val="0"/>
                <w:sz w:val="18"/>
                <w:szCs w:val="18"/>
              </w:rPr>
              <w:t>以大屏幕显示各种营养素摄入量，及营养状况分析。3、开放的食物成分库，用户可以方便的添加、修改新的食物数据。4、</w:t>
            </w:r>
            <w:r>
              <w:rPr>
                <w:rFonts w:hint="eastAsia" w:ascii="宋体" w:hAnsi="宋体" w:cs="宋体"/>
                <w:color w:val="323E32"/>
                <w:kern w:val="0"/>
                <w:sz w:val="18"/>
                <w:szCs w:val="18"/>
              </w:rPr>
              <w:t>能添加自制食谱功能</w:t>
            </w:r>
          </w:p>
          <w:p>
            <w:pPr>
              <w:pStyle w:val="5"/>
              <w:spacing w:before="0" w:beforeAutospacing="0" w:after="0" w:afterAutospacing="0"/>
              <w:jc w:val="left"/>
              <w:rPr>
                <w:color w:val="323E32"/>
                <w:sz w:val="18"/>
                <w:szCs w:val="18"/>
              </w:rPr>
            </w:pPr>
            <w:r>
              <w:rPr>
                <w:color w:val="323E32"/>
                <w:sz w:val="18"/>
                <w:szCs w:val="18"/>
              </w:rPr>
              <w:t> </w:t>
            </w:r>
            <w:r>
              <w:rPr>
                <w:rStyle w:val="14"/>
                <w:color w:val="323E32"/>
                <w:sz w:val="18"/>
                <w:szCs w:val="18"/>
              </w:rPr>
              <w:t> </w:t>
            </w:r>
            <w:r>
              <w:rPr>
                <w:color w:val="323E32"/>
                <w:sz w:val="18"/>
                <w:szCs w:val="18"/>
              </w:rPr>
              <w:t>二. 进行如下营养分析及评价：</w:t>
            </w:r>
          </w:p>
          <w:p>
            <w:pPr>
              <w:ind w:firstLine="180" w:firstLineChars="100"/>
              <w:jc w:val="left"/>
              <w:rPr>
                <w:rFonts w:ascii="宋体" w:hAnsi="宋体" w:cs="宋体"/>
                <w:color w:val="323E32"/>
                <w:kern w:val="0"/>
                <w:sz w:val="18"/>
                <w:szCs w:val="18"/>
              </w:rPr>
            </w:pPr>
            <w:r>
              <w:rPr>
                <w:rFonts w:ascii="宋体" w:hAnsi="宋体" w:cs="宋体"/>
                <w:color w:val="323E32"/>
                <w:kern w:val="0"/>
                <w:sz w:val="18"/>
                <w:szCs w:val="18"/>
              </w:rPr>
              <w:t>1、蛋白质、脂肪和碳水化合物提供的能量分别占总能量的百分比（三大营养素供能比）。</w:t>
            </w:r>
          </w:p>
          <w:p>
            <w:pPr>
              <w:jc w:val="left"/>
              <w:rPr>
                <w:rFonts w:ascii="宋体" w:hAnsi="宋体" w:cs="宋体"/>
                <w:color w:val="323E32"/>
                <w:kern w:val="0"/>
                <w:sz w:val="18"/>
                <w:szCs w:val="18"/>
              </w:rPr>
            </w:pPr>
            <w:r>
              <w:rPr>
                <w:rFonts w:ascii="宋体" w:hAnsi="宋体" w:cs="宋体"/>
                <w:kern w:val="0"/>
                <w:sz w:val="18"/>
                <w:szCs w:val="18"/>
              </w:rPr>
              <w:t> </w:t>
            </w:r>
            <w:r>
              <w:rPr>
                <w:rFonts w:hint="eastAsia" w:ascii="宋体" w:hAnsi="宋体" w:cs="宋体"/>
                <w:kern w:val="0"/>
                <w:sz w:val="18"/>
                <w:szCs w:val="18"/>
              </w:rPr>
              <w:t xml:space="preserve"> </w:t>
            </w:r>
            <w:r>
              <w:rPr>
                <w:rFonts w:ascii="宋体" w:hAnsi="宋体" w:cs="宋体"/>
                <w:color w:val="323E32"/>
                <w:kern w:val="0"/>
                <w:sz w:val="18"/>
                <w:szCs w:val="18"/>
              </w:rPr>
              <w:t>2、一日三餐的供能比（三餐能量比）。</w:t>
            </w:r>
          </w:p>
          <w:p>
            <w:pPr>
              <w:ind w:firstLine="180" w:firstLineChars="100"/>
              <w:jc w:val="left"/>
              <w:rPr>
                <w:rFonts w:ascii="宋体" w:hAnsi="宋体" w:cs="宋体"/>
                <w:color w:val="323E32"/>
                <w:kern w:val="0"/>
                <w:sz w:val="18"/>
                <w:szCs w:val="18"/>
              </w:rPr>
            </w:pPr>
            <w:r>
              <w:rPr>
                <w:rFonts w:ascii="宋体" w:hAnsi="宋体" w:cs="宋体"/>
                <w:color w:val="323E32"/>
                <w:kern w:val="0"/>
                <w:sz w:val="18"/>
                <w:szCs w:val="18"/>
              </w:rPr>
              <w:t>3、平均每日各种营养素摄入量占推荐摄入量（RNIs或AIs）的百分比。</w:t>
            </w:r>
          </w:p>
          <w:p>
            <w:pPr>
              <w:ind w:firstLine="180" w:firstLineChars="100"/>
              <w:jc w:val="left"/>
              <w:rPr>
                <w:rFonts w:ascii="宋体" w:hAnsi="宋体" w:cs="宋体"/>
                <w:color w:val="323E32"/>
                <w:kern w:val="0"/>
                <w:sz w:val="18"/>
                <w:szCs w:val="18"/>
              </w:rPr>
            </w:pPr>
            <w:r>
              <w:rPr>
                <w:rFonts w:ascii="宋体" w:hAnsi="宋体" w:cs="宋体"/>
                <w:color w:val="323E32"/>
                <w:kern w:val="0"/>
                <w:sz w:val="18"/>
                <w:szCs w:val="18"/>
              </w:rPr>
              <w:t>4、各种营养素分别来自动物性食物、植物性食物的百分比（食物来源分析）。</w:t>
            </w:r>
          </w:p>
          <w:p>
            <w:pPr>
              <w:ind w:firstLine="180" w:firstLineChars="100"/>
              <w:jc w:val="left"/>
              <w:rPr>
                <w:rFonts w:ascii="宋体" w:hAnsi="宋体" w:cs="宋体"/>
                <w:color w:val="323E32"/>
                <w:kern w:val="0"/>
                <w:sz w:val="18"/>
                <w:szCs w:val="18"/>
              </w:rPr>
            </w:pPr>
            <w:r>
              <w:rPr>
                <w:rFonts w:ascii="宋体" w:hAnsi="宋体" w:cs="宋体"/>
                <w:color w:val="323E32"/>
                <w:kern w:val="0"/>
                <w:sz w:val="18"/>
                <w:szCs w:val="18"/>
              </w:rPr>
              <w:t>5、各类食物摄入量与中国居民膳食指南建议摄入量的比较（饮食结构分析）。</w:t>
            </w:r>
          </w:p>
          <w:p>
            <w:pPr>
              <w:pStyle w:val="5"/>
              <w:spacing w:before="0" w:beforeAutospacing="0" w:after="0" w:afterAutospacing="0"/>
              <w:jc w:val="left"/>
              <w:rPr>
                <w:color w:val="323E32"/>
                <w:sz w:val="18"/>
                <w:szCs w:val="18"/>
              </w:rPr>
            </w:pPr>
            <w:r>
              <w:rPr>
                <w:color w:val="323E32"/>
                <w:sz w:val="18"/>
                <w:szCs w:val="18"/>
              </w:rPr>
              <w:t> </w:t>
            </w:r>
            <w:r>
              <w:rPr>
                <w:rStyle w:val="14"/>
                <w:color w:val="323E32"/>
                <w:sz w:val="18"/>
                <w:szCs w:val="18"/>
              </w:rPr>
              <w:t> </w:t>
            </w:r>
            <w:r>
              <w:rPr>
                <w:color w:val="323E32"/>
                <w:sz w:val="18"/>
                <w:szCs w:val="18"/>
              </w:rPr>
              <w:t>三. 营养查询</w:t>
            </w:r>
          </w:p>
          <w:p>
            <w:pPr>
              <w:ind w:firstLine="180" w:firstLineChars="100"/>
              <w:jc w:val="left"/>
              <w:rPr>
                <w:rFonts w:ascii="宋体" w:hAnsi="宋体" w:cs="宋体"/>
                <w:color w:val="323E32"/>
                <w:kern w:val="0"/>
                <w:sz w:val="18"/>
                <w:szCs w:val="18"/>
              </w:rPr>
            </w:pPr>
            <w:r>
              <w:rPr>
                <w:rFonts w:ascii="宋体" w:hAnsi="宋体"/>
                <w:color w:val="323E32"/>
                <w:sz w:val="18"/>
                <w:szCs w:val="18"/>
              </w:rPr>
              <w:t> </w:t>
            </w:r>
            <w:r>
              <w:rPr>
                <w:rFonts w:ascii="宋体" w:hAnsi="宋体" w:cs="宋体"/>
                <w:color w:val="323E32"/>
                <w:kern w:val="0"/>
                <w:sz w:val="18"/>
                <w:szCs w:val="18"/>
              </w:rPr>
              <w:t>l、营养素查询：查询食物中的营养素含量。</w:t>
            </w:r>
          </w:p>
          <w:p>
            <w:pPr>
              <w:ind w:firstLine="180" w:firstLineChars="100"/>
              <w:jc w:val="left"/>
              <w:rPr>
                <w:rFonts w:ascii="宋体" w:hAnsi="宋体" w:cs="宋体"/>
                <w:color w:val="323E32"/>
                <w:kern w:val="0"/>
                <w:sz w:val="18"/>
                <w:szCs w:val="18"/>
              </w:rPr>
            </w:pPr>
            <w:r>
              <w:rPr>
                <w:rFonts w:ascii="宋体" w:hAnsi="宋体" w:cs="宋体"/>
                <w:color w:val="323E32"/>
                <w:kern w:val="0"/>
                <w:sz w:val="18"/>
                <w:szCs w:val="18"/>
              </w:rPr>
              <w:t>2、食物查询：查询营养素在哪些食物中含量最多</w:t>
            </w:r>
            <w:r>
              <w:rPr>
                <w:rFonts w:hint="eastAsia" w:ascii="宋体" w:hAnsi="宋体" w:cs="宋体"/>
                <w:color w:val="323E32"/>
                <w:kern w:val="0"/>
                <w:sz w:val="18"/>
                <w:szCs w:val="18"/>
              </w:rPr>
              <w:t>（前100名）</w:t>
            </w:r>
            <w:r>
              <w:rPr>
                <w:rFonts w:ascii="宋体" w:hAnsi="宋体" w:cs="宋体"/>
                <w:color w:val="323E32"/>
                <w:kern w:val="0"/>
                <w:sz w:val="18"/>
                <w:szCs w:val="18"/>
              </w:rPr>
              <w:t>。</w:t>
            </w:r>
          </w:p>
          <w:p>
            <w:pPr>
              <w:ind w:firstLine="180" w:firstLineChars="100"/>
              <w:jc w:val="left"/>
              <w:rPr>
                <w:rFonts w:ascii="宋体" w:hAnsi="宋体" w:cs="宋体"/>
                <w:color w:val="323E32"/>
                <w:kern w:val="0"/>
                <w:sz w:val="18"/>
                <w:szCs w:val="18"/>
              </w:rPr>
            </w:pPr>
            <w:r>
              <w:rPr>
                <w:rFonts w:ascii="宋体" w:hAnsi="宋体" w:cs="宋体"/>
                <w:color w:val="323E32"/>
                <w:kern w:val="0"/>
                <w:sz w:val="18"/>
                <w:szCs w:val="18"/>
              </w:rPr>
              <w:t>3、营养素推荐摄入量查询：查询每人每日的标准营养素摄入量。</w:t>
            </w:r>
          </w:p>
          <w:p>
            <w:pPr>
              <w:ind w:firstLine="180" w:firstLineChars="100"/>
              <w:jc w:val="left"/>
              <w:rPr>
                <w:rFonts w:ascii="宋体" w:hAnsi="宋体"/>
                <w:color w:val="323E32"/>
                <w:sz w:val="18"/>
                <w:szCs w:val="18"/>
              </w:rPr>
            </w:pPr>
            <w:r>
              <w:rPr>
                <w:rFonts w:ascii="宋体" w:hAnsi="宋体" w:cs="宋体"/>
                <w:color w:val="323E32"/>
                <w:kern w:val="0"/>
                <w:sz w:val="18"/>
                <w:szCs w:val="18"/>
              </w:rPr>
              <w:t>4、平衡膳食宝塔查询：即查询中国居民膳食指南中建议的各类食物摄入量</w:t>
            </w:r>
            <w:r>
              <w:rPr>
                <w:rFonts w:ascii="宋体" w:hAnsi="宋体"/>
                <w:color w:val="323E32"/>
                <w:sz w:val="18"/>
                <w:szCs w:val="18"/>
              </w:rPr>
              <w:t>。</w:t>
            </w:r>
            <w:r>
              <w:rPr>
                <w:rFonts w:hint="eastAsia" w:ascii="宋体" w:hAnsi="宋体"/>
                <w:color w:val="323E32"/>
                <w:sz w:val="18"/>
                <w:szCs w:val="18"/>
              </w:rPr>
              <w:t xml:space="preserve"> </w:t>
            </w:r>
          </w:p>
          <w:p>
            <w:pPr>
              <w:jc w:val="left"/>
              <w:rPr>
                <w:rFonts w:ascii="宋体" w:hAnsi="宋体"/>
                <w:color w:val="323E32"/>
                <w:sz w:val="18"/>
                <w:szCs w:val="18"/>
              </w:rPr>
            </w:pPr>
            <w:r>
              <w:rPr>
                <w:rStyle w:val="14"/>
                <w:rFonts w:ascii="宋体" w:hAnsi="宋体"/>
                <w:color w:val="323E32"/>
                <w:sz w:val="18"/>
                <w:szCs w:val="18"/>
              </w:rPr>
              <w:t> </w:t>
            </w:r>
            <w:r>
              <w:rPr>
                <w:rStyle w:val="14"/>
                <w:rFonts w:hint="eastAsia" w:ascii="宋体" w:hAnsi="宋体"/>
                <w:color w:val="323E32"/>
                <w:sz w:val="18"/>
                <w:szCs w:val="18"/>
              </w:rPr>
              <w:t xml:space="preserve"> </w:t>
            </w:r>
            <w:r>
              <w:rPr>
                <w:rFonts w:ascii="宋体" w:hAnsi="宋体"/>
                <w:color w:val="323E32"/>
                <w:sz w:val="18"/>
                <w:szCs w:val="18"/>
              </w:rPr>
              <w:t>四. 数据的保存、导出、打印</w:t>
            </w:r>
          </w:p>
          <w:p>
            <w:pPr>
              <w:jc w:val="left"/>
              <w:rPr>
                <w:rFonts w:ascii="宋体" w:hAnsi="宋体" w:cs="宋体"/>
                <w:color w:val="323E32"/>
                <w:kern w:val="0"/>
                <w:sz w:val="18"/>
                <w:szCs w:val="18"/>
              </w:rPr>
            </w:pPr>
            <w:r>
              <w:rPr>
                <w:rFonts w:ascii="宋体" w:hAnsi="宋体"/>
                <w:color w:val="323E32"/>
                <w:sz w:val="18"/>
                <w:szCs w:val="18"/>
              </w:rPr>
              <w:t>  </w:t>
            </w:r>
            <w:r>
              <w:rPr>
                <w:rFonts w:ascii="宋体" w:hAnsi="宋体" w:cs="宋体"/>
                <w:color w:val="323E32"/>
                <w:kern w:val="0"/>
                <w:sz w:val="18"/>
                <w:szCs w:val="18"/>
              </w:rPr>
              <w:t>1、保存计算结果为磁盘文件，方便数据的备份及转移。可将该磁盘文件通过U盘或QQ、mail传送到其它电脑中，实现数据共享。</w:t>
            </w:r>
          </w:p>
          <w:p>
            <w:pPr>
              <w:ind w:firstLine="180" w:firstLineChars="100"/>
              <w:jc w:val="left"/>
              <w:rPr>
                <w:rFonts w:ascii="宋体" w:hAnsi="宋体"/>
                <w:color w:val="323E32"/>
                <w:sz w:val="18"/>
                <w:szCs w:val="18"/>
              </w:rPr>
            </w:pPr>
            <w:r>
              <w:rPr>
                <w:rFonts w:ascii="宋体" w:hAnsi="宋体" w:cs="宋体"/>
                <w:color w:val="323E32"/>
                <w:kern w:val="0"/>
                <w:sz w:val="18"/>
                <w:szCs w:val="18"/>
              </w:rPr>
              <w:t>2、可将计算结果导出到Excel表中，包括所录入的食物、用量、营养素摄入量，以及上述的营养状况分析等数据，便于对数据进行更进一步的处理。3、数据打印功能：能将计算结果及营养分析打印输出</w:t>
            </w:r>
            <w:r>
              <w:rPr>
                <w:rFonts w:ascii="宋体" w:hAnsi="宋体"/>
                <w:color w:val="323E32"/>
                <w:sz w:val="18"/>
                <w:szCs w:val="18"/>
              </w:rPr>
              <w:t>。</w:t>
            </w:r>
          </w:p>
          <w:p>
            <w:pPr>
              <w:pStyle w:val="5"/>
              <w:spacing w:before="0" w:beforeAutospacing="0" w:after="0" w:afterAutospacing="0"/>
              <w:ind w:firstLine="90" w:firstLineChars="50"/>
              <w:jc w:val="left"/>
              <w:rPr>
                <w:color w:val="323E32"/>
                <w:sz w:val="18"/>
                <w:szCs w:val="18"/>
              </w:rPr>
            </w:pPr>
            <w:r>
              <w:rPr>
                <w:rFonts w:hint="eastAsia"/>
                <w:color w:val="323E32"/>
                <w:sz w:val="18"/>
                <w:szCs w:val="18"/>
              </w:rPr>
              <w:t>五、数据来源</w:t>
            </w:r>
          </w:p>
          <w:p>
            <w:pPr>
              <w:ind w:firstLine="180" w:firstLineChars="100"/>
              <w:jc w:val="left"/>
              <w:rPr>
                <w:rFonts w:hint="eastAsia" w:ascii="宋体" w:hAnsi="宋体" w:cs="宋体"/>
                <w:color w:val="323E32"/>
                <w:kern w:val="0"/>
                <w:sz w:val="18"/>
                <w:szCs w:val="18"/>
              </w:rPr>
            </w:pPr>
            <w:r>
              <w:rPr>
                <w:rFonts w:hint="eastAsia" w:ascii="宋体" w:hAnsi="宋体" w:cs="宋体"/>
                <w:color w:val="323E32"/>
                <w:kern w:val="0"/>
                <w:sz w:val="18"/>
                <w:szCs w:val="18"/>
              </w:rPr>
              <w:t>1、</w:t>
            </w:r>
            <w:r>
              <w:rPr>
                <w:rFonts w:ascii="宋体" w:hAnsi="宋体" w:cs="宋体"/>
                <w:color w:val="323E32"/>
                <w:kern w:val="0"/>
                <w:sz w:val="18"/>
                <w:szCs w:val="18"/>
              </w:rPr>
              <w:t>标准营养素摄入量</w:t>
            </w:r>
            <w:r>
              <w:rPr>
                <w:rFonts w:hint="eastAsia" w:ascii="宋体" w:hAnsi="宋体" w:cs="宋体"/>
                <w:color w:val="323E32"/>
                <w:kern w:val="0"/>
                <w:sz w:val="18"/>
                <w:szCs w:val="18"/>
              </w:rPr>
              <w:t>数据源自2013版DRIs2、膳食指南基础数据源自中国营养学会最新版《中国居民膳食指南2016》3、基础数据源自国家标准CDC《食物成分列表》</w:t>
            </w:r>
          </w:p>
          <w:p>
            <w:pPr>
              <w:ind w:firstLine="180" w:firstLineChars="100"/>
              <w:jc w:val="left"/>
              <w:rPr>
                <w:rFonts w:hint="eastAsia" w:ascii="宋体" w:hAnsi="宋体" w:cs="宋体"/>
                <w:color w:val="323E32"/>
                <w:kern w:val="0"/>
                <w:sz w:val="18"/>
                <w:szCs w:val="18"/>
              </w:rPr>
            </w:pPr>
            <w:r>
              <w:rPr>
                <w:rFonts w:hint="eastAsia" w:ascii="宋体" w:hAnsi="宋体" w:cs="宋体"/>
                <w:color w:val="323E32"/>
                <w:kern w:val="0"/>
                <w:sz w:val="18"/>
                <w:szCs w:val="18"/>
                <w:lang w:eastAsia="zh-CN"/>
              </w:rPr>
              <w:t>六</w:t>
            </w:r>
            <w:r>
              <w:rPr>
                <w:rFonts w:hint="eastAsia" w:ascii="宋体" w:hAnsi="宋体" w:cs="宋体"/>
                <w:color w:val="323E32"/>
                <w:kern w:val="0"/>
                <w:sz w:val="18"/>
                <w:szCs w:val="18"/>
              </w:rPr>
              <w:t>、购买数量：32套</w:t>
            </w:r>
          </w:p>
          <w:p>
            <w:pPr>
              <w:pStyle w:val="5"/>
              <w:spacing w:before="0" w:beforeAutospacing="0" w:after="0" w:afterAutospacing="0"/>
              <w:ind w:firstLine="90" w:firstLineChars="50"/>
              <w:jc w:val="left"/>
              <w:rPr>
                <w:color w:val="323E32"/>
                <w:sz w:val="18"/>
                <w:szCs w:val="18"/>
              </w:rPr>
            </w:pPr>
            <w:r>
              <w:rPr>
                <w:rFonts w:hint="eastAsia"/>
                <w:color w:val="323E32"/>
                <w:sz w:val="18"/>
                <w:szCs w:val="18"/>
                <w:lang w:eastAsia="zh-CN"/>
              </w:rPr>
              <w:t>七</w:t>
            </w:r>
            <w:r>
              <w:rPr>
                <w:rFonts w:hint="eastAsia"/>
                <w:color w:val="323E32"/>
                <w:sz w:val="18"/>
                <w:szCs w:val="18"/>
              </w:rPr>
              <w:t>、售后服务</w:t>
            </w:r>
          </w:p>
          <w:p>
            <w:pPr>
              <w:ind w:firstLine="180" w:firstLineChars="100"/>
              <w:jc w:val="left"/>
              <w:rPr>
                <w:rFonts w:ascii="宋体" w:hAnsi="宋体" w:cs="宋体"/>
                <w:color w:val="323E32"/>
                <w:kern w:val="0"/>
                <w:sz w:val="18"/>
                <w:szCs w:val="18"/>
              </w:rPr>
            </w:pPr>
            <w:r>
              <w:rPr>
                <w:rFonts w:hint="eastAsia" w:ascii="宋体" w:hAnsi="宋体" w:cs="宋体"/>
                <w:color w:val="323E32"/>
                <w:kern w:val="0"/>
                <w:sz w:val="18"/>
                <w:szCs w:val="18"/>
              </w:rPr>
              <w:t>1、提供上门安装和培训服务2、软件享有终身免费技术支持及三年免费软件升级服务</w:t>
            </w:r>
          </w:p>
          <w:p>
            <w:pPr>
              <w:ind w:firstLine="180" w:firstLineChars="100"/>
              <w:jc w:val="left"/>
              <w:rPr>
                <w:rFonts w:ascii="宋体" w:hAnsi="宋体" w:cs="宋体"/>
                <w:color w:val="323E32"/>
                <w:kern w:val="0"/>
                <w:sz w:val="18"/>
                <w:szCs w:val="18"/>
              </w:rPr>
            </w:pPr>
            <w:r>
              <w:rPr>
                <w:rFonts w:hint="eastAsia" w:ascii="宋体" w:hAnsi="宋体" w:cs="宋体"/>
                <w:color w:val="323E32"/>
                <w:kern w:val="0"/>
                <w:sz w:val="18"/>
                <w:szCs w:val="18"/>
                <w:lang w:eastAsia="zh-CN"/>
              </w:rPr>
              <w:t>八</w:t>
            </w:r>
            <w:r>
              <w:rPr>
                <w:rFonts w:hint="eastAsia" w:ascii="宋体" w:hAnsi="宋体" w:cs="宋体"/>
                <w:color w:val="323E32"/>
                <w:kern w:val="0"/>
                <w:sz w:val="18"/>
                <w:szCs w:val="18"/>
              </w:rPr>
              <w:t>、付款方式：</w:t>
            </w:r>
          </w:p>
          <w:p>
            <w:pPr>
              <w:ind w:firstLine="180" w:firstLineChars="100"/>
              <w:jc w:val="left"/>
              <w:rPr>
                <w:rFonts w:hint="eastAsia" w:ascii="宋体" w:hAnsi="宋体" w:cs="宋体"/>
                <w:color w:val="323E32"/>
                <w:kern w:val="0"/>
                <w:sz w:val="18"/>
                <w:szCs w:val="18"/>
                <w:lang w:eastAsia="zh-CN"/>
              </w:rPr>
            </w:pPr>
            <w:r>
              <w:rPr>
                <w:rFonts w:hint="eastAsia" w:ascii="宋体" w:hAnsi="宋体" w:cs="宋体"/>
                <w:color w:val="323E32"/>
                <w:kern w:val="0"/>
                <w:sz w:val="18"/>
                <w:szCs w:val="18"/>
              </w:rPr>
              <w:t>货物安装调试并验收合格后中标方向我院提供100%的货款正规含税发票，学院支付95%的设备价款，余下的5％设备价款作为售后服务保证金，该保证金若货物验收合格之日起满一年后无质量和售后服务问题一次性无息退还。</w:t>
            </w:r>
          </w:p>
        </w:tc>
        <w:tc>
          <w:tcPr>
            <w:tcW w:w="525" w:type="dxa"/>
            <w:vAlign w:val="center"/>
          </w:tcPr>
          <w:p>
            <w:pPr>
              <w:spacing w:line="240" w:lineRule="atLeast"/>
              <w:jc w:val="left"/>
              <w:rPr>
                <w:rFonts w:hint="eastAsia" w:ascii="宋体" w:hAnsi="宋体" w:cs="宋体"/>
                <w:bCs/>
                <w:kern w:val="36"/>
                <w:szCs w:val="21"/>
                <w:lang w:eastAsia="zh-CN"/>
              </w:rPr>
            </w:pPr>
            <w:r>
              <w:rPr>
                <w:rFonts w:hint="eastAsia" w:ascii="宋体" w:hAnsi="宋体" w:cs="宋体"/>
                <w:bCs/>
                <w:kern w:val="36"/>
                <w:szCs w:val="21"/>
                <w:lang w:val="en-US" w:eastAsia="zh-CN"/>
              </w:rPr>
              <w:t>1批</w:t>
            </w:r>
          </w:p>
        </w:tc>
        <w:tc>
          <w:tcPr>
            <w:tcW w:w="900"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25000</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left="0" w:right="0" w:firstLine="0"/>
        <w:jc w:val="center"/>
        <w:textAlignment w:val="baseline"/>
        <w:rPr>
          <w:rFonts w:hint="eastAsia" w:ascii="宋体" w:hAnsi="宋体" w:eastAsia="宋体" w:cs="宋体"/>
          <w:i w:val="0"/>
          <w:caps w:val="0"/>
          <w:color w:val="000000"/>
          <w:spacing w:val="0"/>
          <w:sz w:val="28"/>
          <w:szCs w:val="28"/>
          <w:vertAlign w:val="baseline"/>
        </w:rPr>
        <w:sectPr>
          <w:pgSz w:w="11906" w:h="16838"/>
          <w:pgMar w:top="820" w:right="432" w:bottom="1440" w:left="580" w:header="851" w:footer="992" w:gutter="0"/>
          <w:cols w:space="425" w:num="1"/>
          <w:docGrid w:type="lines" w:linePitch="312" w:charSpace="0"/>
        </w:sectPr>
      </w:pPr>
      <w:bookmarkStart w:id="0" w:name="_Toc304388443"/>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firstLine="6184" w:firstLineChars="2200"/>
        <w:jc w:val="both"/>
        <w:textAlignment w:val="baseline"/>
        <w:rPr>
          <w:rFonts w:hint="eastAsia" w:ascii="宋体" w:hAnsi="宋体" w:eastAsia="宋体" w:cs="宋体"/>
          <w:i w:val="0"/>
          <w:caps w:val="0"/>
          <w:color w:val="000000"/>
          <w:spacing w:val="0"/>
          <w:sz w:val="28"/>
          <w:szCs w:val="28"/>
          <w:vertAlign w:val="baseline"/>
        </w:rPr>
      </w:pPr>
      <w:r>
        <w:rPr>
          <w:rFonts w:hint="eastAsia" w:ascii="宋体" w:hAnsi="宋体" w:eastAsia="宋体" w:cs="宋体"/>
          <w:i w:val="0"/>
          <w:caps w:val="0"/>
          <w:color w:val="000000"/>
          <w:spacing w:val="0"/>
          <w:sz w:val="28"/>
          <w:szCs w:val="28"/>
          <w:vertAlign w:val="baseline"/>
        </w:rPr>
        <w:t>规格响应表</w:t>
      </w:r>
      <w:bookmarkEnd w:id="0"/>
    </w:p>
    <w:tbl>
      <w:tblPr>
        <w:tblStyle w:val="9"/>
        <w:tblpPr w:leftFromText="180" w:rightFromText="180" w:vertAnchor="text" w:horzAnchor="page" w:tblpX="683" w:tblpY="246"/>
        <w:tblOverlap w:val="never"/>
        <w:tblW w:w="15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477"/>
        <w:gridCol w:w="5653"/>
        <w:gridCol w:w="6107"/>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0" w:type="dxa"/>
            <w:vAlign w:val="center"/>
          </w:tcPr>
          <w:p>
            <w:pPr>
              <w:spacing w:line="240" w:lineRule="atLeast"/>
              <w:jc w:val="center"/>
              <w:rPr>
                <w:szCs w:val="24"/>
              </w:rPr>
            </w:pPr>
            <w:r>
              <w:rPr>
                <w:rFonts w:hint="eastAsia"/>
                <w:szCs w:val="24"/>
              </w:rPr>
              <w:t>序号</w:t>
            </w:r>
          </w:p>
        </w:tc>
        <w:tc>
          <w:tcPr>
            <w:tcW w:w="1477" w:type="dxa"/>
            <w:vAlign w:val="center"/>
          </w:tcPr>
          <w:p>
            <w:pPr>
              <w:spacing w:line="240" w:lineRule="atLeast"/>
              <w:jc w:val="center"/>
              <w:rPr>
                <w:rFonts w:hint="eastAsia" w:eastAsia="宋体"/>
                <w:szCs w:val="24"/>
                <w:lang w:eastAsia="zh-CN"/>
              </w:rPr>
            </w:pPr>
            <w:r>
              <w:rPr>
                <w:rFonts w:hint="eastAsia"/>
                <w:szCs w:val="24"/>
                <w:lang w:eastAsia="zh-CN"/>
              </w:rPr>
              <w:t>询价项目名称</w:t>
            </w:r>
          </w:p>
        </w:tc>
        <w:tc>
          <w:tcPr>
            <w:tcW w:w="5653" w:type="dxa"/>
            <w:vAlign w:val="center"/>
          </w:tcPr>
          <w:p>
            <w:pPr>
              <w:spacing w:line="240" w:lineRule="atLeast"/>
              <w:jc w:val="center"/>
              <w:rPr>
                <w:szCs w:val="24"/>
              </w:rPr>
            </w:pPr>
            <w:r>
              <w:rPr>
                <w:rFonts w:hint="eastAsia" w:ascii="宋体" w:hAnsi="宋体" w:eastAsia="宋体" w:cs="宋体"/>
                <w:b w:val="0"/>
                <w:i w:val="0"/>
                <w:caps w:val="0"/>
                <w:color w:val="000000"/>
                <w:spacing w:val="0"/>
                <w:sz w:val="24"/>
                <w:szCs w:val="24"/>
              </w:rPr>
              <w:t>询价采购文件规定的规格、参数</w:t>
            </w:r>
          </w:p>
        </w:tc>
        <w:tc>
          <w:tcPr>
            <w:tcW w:w="6107" w:type="dxa"/>
            <w:vAlign w:val="center"/>
          </w:tcPr>
          <w:p>
            <w:pPr>
              <w:spacing w:line="240" w:lineRule="atLeast"/>
              <w:jc w:val="center"/>
              <w:rPr>
                <w:rFonts w:hint="eastAsia" w:eastAsia="宋体"/>
                <w:szCs w:val="24"/>
                <w:lang w:eastAsia="zh-CN"/>
              </w:rPr>
            </w:pPr>
            <w:r>
              <w:rPr>
                <w:rFonts w:hint="eastAsia" w:ascii="宋体" w:hAnsi="宋体" w:eastAsia="宋体" w:cs="宋体"/>
                <w:b w:val="0"/>
                <w:i w:val="0"/>
                <w:caps w:val="0"/>
                <w:color w:val="000000"/>
                <w:spacing w:val="0"/>
                <w:sz w:val="24"/>
                <w:szCs w:val="24"/>
              </w:rPr>
              <w:t>供应商所投产品的规格、参数</w:t>
            </w:r>
          </w:p>
        </w:tc>
        <w:tc>
          <w:tcPr>
            <w:tcW w:w="2098" w:type="dxa"/>
            <w:vAlign w:val="center"/>
          </w:tcPr>
          <w:p>
            <w:pPr>
              <w:spacing w:line="240" w:lineRule="atLeast"/>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rPr>
              <w:t>响应情况</w:t>
            </w:r>
          </w:p>
          <w:p>
            <w:pPr>
              <w:spacing w:line="240" w:lineRule="atLeast"/>
              <w:jc w:val="center"/>
              <w:rPr>
                <w:rFonts w:hint="eastAsia" w:eastAsia="宋体"/>
                <w:szCs w:val="24"/>
                <w:lang w:eastAsia="zh-CN"/>
              </w:rPr>
            </w:pPr>
            <w:r>
              <w:rPr>
                <w:rFonts w:hint="eastAsia"/>
                <w:szCs w:val="24"/>
                <w:lang w:eastAsia="zh-CN"/>
              </w:rPr>
              <w:t>（正偏离、无偏离、负偏离）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6" w:hRule="atLeast"/>
        </w:trPr>
        <w:tc>
          <w:tcPr>
            <w:tcW w:w="490" w:type="dxa"/>
            <w:vMerge w:val="restart"/>
            <w:shd w:val="clear" w:color="auto" w:fill="auto"/>
            <w:vAlign w:val="center"/>
          </w:tcPr>
          <w:p>
            <w:pPr>
              <w:spacing w:line="240" w:lineRule="atLeast"/>
              <w:jc w:val="both"/>
              <w:rPr>
                <w:szCs w:val="24"/>
              </w:rPr>
            </w:pPr>
            <w:r>
              <w:rPr>
                <w:rFonts w:hint="eastAsia"/>
                <w:szCs w:val="24"/>
              </w:rPr>
              <w:t>1</w:t>
            </w:r>
          </w:p>
        </w:tc>
        <w:tc>
          <w:tcPr>
            <w:tcW w:w="1477" w:type="dxa"/>
            <w:vMerge w:val="restart"/>
            <w:shd w:val="clear" w:color="auto" w:fill="FFFFFF"/>
            <w:vAlign w:val="center"/>
          </w:tcPr>
          <w:p>
            <w:pPr>
              <w:widowControl/>
              <w:spacing w:line="240" w:lineRule="atLeast"/>
              <w:jc w:val="left"/>
              <w:textAlignment w:val="center"/>
              <w:rPr>
                <w:szCs w:val="24"/>
              </w:rPr>
            </w:pPr>
            <w:r>
              <w:rPr>
                <w:rFonts w:hint="eastAsia" w:ascii="宋体" w:hAnsi="宋体"/>
                <w:sz w:val="22"/>
              </w:rPr>
              <w:t>营养教学软件</w:t>
            </w:r>
          </w:p>
        </w:tc>
        <w:tc>
          <w:tcPr>
            <w:tcW w:w="5653" w:type="dxa"/>
            <w:vAlign w:val="center"/>
          </w:tcPr>
          <w:p>
            <w:pPr>
              <w:pStyle w:val="5"/>
              <w:spacing w:before="0" w:beforeAutospacing="0" w:after="0" w:afterAutospacing="0"/>
              <w:rPr>
                <w:color w:val="323E32"/>
                <w:sz w:val="18"/>
                <w:szCs w:val="18"/>
              </w:rPr>
            </w:pPr>
            <w:r>
              <w:rPr>
                <w:color w:val="323E32"/>
                <w:sz w:val="18"/>
                <w:szCs w:val="18"/>
              </w:rPr>
              <w:t>一. 常规营养计算与营养配餐：</w:t>
            </w:r>
          </w:p>
          <w:p>
            <w:pPr>
              <w:ind w:firstLine="180" w:firstLineChars="100"/>
              <w:rPr>
                <w:rFonts w:ascii="宋体" w:hAnsi="宋体" w:cs="宋体"/>
                <w:color w:val="323E32"/>
                <w:kern w:val="0"/>
                <w:sz w:val="18"/>
                <w:szCs w:val="18"/>
              </w:rPr>
            </w:pPr>
            <w:r>
              <w:rPr>
                <w:rFonts w:ascii="宋体" w:hAnsi="宋体"/>
                <w:color w:val="323E32"/>
                <w:sz w:val="18"/>
                <w:szCs w:val="18"/>
              </w:rPr>
              <w:t>l</w:t>
            </w:r>
            <w:r>
              <w:rPr>
                <w:rFonts w:ascii="宋体" w:hAnsi="宋体" w:cs="宋体"/>
                <w:color w:val="323E32"/>
                <w:kern w:val="0"/>
                <w:sz w:val="18"/>
                <w:szCs w:val="18"/>
              </w:rPr>
              <w:t>、配制一日及一周的三餐食谱，搭配平衡膳食。</w:t>
            </w:r>
          </w:p>
          <w:p>
            <w:pPr>
              <w:ind w:firstLine="180" w:firstLineChars="100"/>
              <w:rPr>
                <w:rFonts w:ascii="宋体" w:hAnsi="宋体" w:cs="宋体"/>
                <w:color w:val="323E32"/>
                <w:kern w:val="0"/>
                <w:sz w:val="18"/>
                <w:szCs w:val="18"/>
              </w:rPr>
            </w:pPr>
            <w:r>
              <w:rPr>
                <w:rFonts w:ascii="宋体" w:hAnsi="宋体" w:cs="宋体"/>
                <w:color w:val="323E32"/>
                <w:kern w:val="0"/>
                <w:sz w:val="18"/>
                <w:szCs w:val="18"/>
              </w:rPr>
              <w:t>2、</w:t>
            </w:r>
            <w:r>
              <w:rPr>
                <w:rFonts w:hint="eastAsia" w:ascii="宋体" w:hAnsi="宋体" w:cs="宋体"/>
                <w:color w:val="323E32"/>
                <w:kern w:val="0"/>
                <w:sz w:val="18"/>
                <w:szCs w:val="18"/>
              </w:rPr>
              <w:t>食物摄入量的计算采用智能化方式，无需自行设定，完全由系统根据配餐者的摄入量标准自动计算生成，也可辅以手工微调。</w:t>
            </w:r>
            <w:r>
              <w:rPr>
                <w:rFonts w:ascii="宋体" w:hAnsi="宋体" w:cs="宋体"/>
                <w:color w:val="323E32"/>
                <w:kern w:val="0"/>
                <w:sz w:val="18"/>
                <w:szCs w:val="18"/>
              </w:rPr>
              <w:t>以大屏幕显示各种营养素摄入量，及营养状况分析。</w:t>
            </w:r>
          </w:p>
          <w:p>
            <w:pPr>
              <w:ind w:firstLine="180" w:firstLineChars="100"/>
              <w:rPr>
                <w:rFonts w:ascii="宋体" w:hAnsi="宋体" w:cs="宋体"/>
                <w:color w:val="323E32"/>
                <w:kern w:val="0"/>
                <w:sz w:val="18"/>
                <w:szCs w:val="18"/>
              </w:rPr>
            </w:pPr>
            <w:r>
              <w:rPr>
                <w:rFonts w:ascii="宋体" w:hAnsi="宋体" w:cs="宋体"/>
                <w:color w:val="323E32"/>
                <w:kern w:val="0"/>
                <w:sz w:val="18"/>
                <w:szCs w:val="18"/>
              </w:rPr>
              <w:t>3、开放的食物成分库，用户可以方便的添加、修改新的食物数据。</w:t>
            </w:r>
          </w:p>
          <w:p>
            <w:pPr>
              <w:ind w:firstLine="180" w:firstLineChars="100"/>
              <w:rPr>
                <w:szCs w:val="21"/>
              </w:rPr>
            </w:pPr>
            <w:r>
              <w:rPr>
                <w:rFonts w:ascii="宋体" w:hAnsi="宋体" w:cs="宋体"/>
                <w:color w:val="323E32"/>
                <w:kern w:val="0"/>
                <w:sz w:val="18"/>
                <w:szCs w:val="18"/>
              </w:rPr>
              <w:t>4、</w:t>
            </w:r>
            <w:r>
              <w:rPr>
                <w:rFonts w:hint="eastAsia" w:ascii="宋体" w:hAnsi="宋体" w:cs="宋体"/>
                <w:color w:val="323E32"/>
                <w:kern w:val="0"/>
                <w:sz w:val="18"/>
                <w:szCs w:val="18"/>
              </w:rPr>
              <w:t>能添加自制食谱功能</w:t>
            </w:r>
          </w:p>
        </w:tc>
        <w:tc>
          <w:tcPr>
            <w:tcW w:w="610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vMerge w:val="continue"/>
            <w:shd w:val="clear" w:color="auto" w:fill="auto"/>
            <w:vAlign w:val="center"/>
          </w:tcPr>
          <w:p>
            <w:pPr>
              <w:spacing w:line="240" w:lineRule="atLeast"/>
              <w:jc w:val="center"/>
              <w:rPr>
                <w:szCs w:val="24"/>
              </w:rPr>
            </w:pPr>
          </w:p>
        </w:tc>
        <w:tc>
          <w:tcPr>
            <w:tcW w:w="1477" w:type="dxa"/>
            <w:vMerge w:val="continue"/>
            <w:shd w:val="clear" w:color="auto" w:fill="FFFFFF"/>
            <w:vAlign w:val="center"/>
          </w:tcPr>
          <w:p>
            <w:pPr>
              <w:widowControl/>
              <w:spacing w:line="240" w:lineRule="atLeast"/>
              <w:jc w:val="left"/>
              <w:textAlignment w:val="center"/>
              <w:rPr>
                <w:szCs w:val="24"/>
              </w:rPr>
            </w:pPr>
          </w:p>
        </w:tc>
        <w:tc>
          <w:tcPr>
            <w:tcW w:w="5653" w:type="dxa"/>
            <w:vAlign w:val="center"/>
          </w:tcPr>
          <w:p>
            <w:pPr>
              <w:pStyle w:val="5"/>
              <w:spacing w:before="0" w:beforeAutospacing="0" w:after="0" w:afterAutospacing="0"/>
              <w:rPr>
                <w:color w:val="323E32"/>
                <w:sz w:val="18"/>
                <w:szCs w:val="18"/>
              </w:rPr>
            </w:pPr>
            <w:r>
              <w:rPr>
                <w:color w:val="323E32"/>
                <w:sz w:val="18"/>
                <w:szCs w:val="18"/>
              </w:rPr>
              <w:t>二. 进行如下营养分析及评价：</w:t>
            </w:r>
          </w:p>
          <w:p>
            <w:pPr>
              <w:ind w:firstLine="180" w:firstLineChars="100"/>
              <w:rPr>
                <w:rFonts w:ascii="宋体" w:hAnsi="宋体" w:cs="宋体"/>
                <w:color w:val="323E32"/>
                <w:kern w:val="0"/>
                <w:sz w:val="18"/>
                <w:szCs w:val="18"/>
              </w:rPr>
            </w:pPr>
            <w:r>
              <w:rPr>
                <w:rFonts w:ascii="宋体" w:hAnsi="宋体" w:cs="宋体"/>
                <w:color w:val="323E32"/>
                <w:kern w:val="0"/>
                <w:sz w:val="18"/>
                <w:szCs w:val="18"/>
              </w:rPr>
              <w:t>1、蛋白质、脂肪和碳水化合物提供的能量分别占总能量的百分比（三大营养素供能比）。</w:t>
            </w:r>
          </w:p>
          <w:p>
            <w:pPr>
              <w:rPr>
                <w:rFonts w:ascii="宋体" w:hAnsi="宋体" w:cs="宋体"/>
                <w:color w:val="323E32"/>
                <w:kern w:val="0"/>
                <w:sz w:val="18"/>
                <w:szCs w:val="18"/>
              </w:rPr>
            </w:pPr>
            <w:r>
              <w:rPr>
                <w:rFonts w:ascii="宋体" w:hAnsi="宋体" w:cs="宋体"/>
                <w:kern w:val="0"/>
                <w:sz w:val="18"/>
                <w:szCs w:val="18"/>
              </w:rPr>
              <w:t> </w:t>
            </w:r>
            <w:r>
              <w:rPr>
                <w:rFonts w:hint="eastAsia" w:ascii="宋体" w:hAnsi="宋体" w:cs="宋体"/>
                <w:kern w:val="0"/>
                <w:sz w:val="18"/>
                <w:szCs w:val="18"/>
              </w:rPr>
              <w:t xml:space="preserve"> </w:t>
            </w:r>
            <w:r>
              <w:rPr>
                <w:rFonts w:ascii="宋体" w:hAnsi="宋体" w:cs="宋体"/>
                <w:color w:val="323E32"/>
                <w:kern w:val="0"/>
                <w:sz w:val="18"/>
                <w:szCs w:val="18"/>
              </w:rPr>
              <w:t>2、一日三餐的供能比（三餐能量比）。</w:t>
            </w:r>
          </w:p>
          <w:p>
            <w:pPr>
              <w:ind w:firstLine="180" w:firstLineChars="100"/>
              <w:rPr>
                <w:rFonts w:ascii="宋体" w:hAnsi="宋体" w:cs="宋体"/>
                <w:color w:val="323E32"/>
                <w:kern w:val="0"/>
                <w:sz w:val="18"/>
                <w:szCs w:val="18"/>
              </w:rPr>
            </w:pPr>
            <w:r>
              <w:rPr>
                <w:rFonts w:ascii="宋体" w:hAnsi="宋体" w:cs="宋体"/>
                <w:color w:val="323E32"/>
                <w:kern w:val="0"/>
                <w:sz w:val="18"/>
                <w:szCs w:val="18"/>
              </w:rPr>
              <w:t>3、平均每日各种营养素摄入量占推荐摄入量（RNIs或AIs）的百分比。</w:t>
            </w:r>
          </w:p>
          <w:p>
            <w:pPr>
              <w:ind w:firstLine="180" w:firstLineChars="100"/>
              <w:rPr>
                <w:rFonts w:ascii="宋体" w:hAnsi="宋体" w:cs="宋体"/>
                <w:color w:val="323E32"/>
                <w:kern w:val="0"/>
                <w:sz w:val="18"/>
                <w:szCs w:val="18"/>
              </w:rPr>
            </w:pPr>
            <w:r>
              <w:rPr>
                <w:rFonts w:ascii="宋体" w:hAnsi="宋体" w:cs="宋体"/>
                <w:color w:val="323E32"/>
                <w:kern w:val="0"/>
                <w:sz w:val="18"/>
                <w:szCs w:val="18"/>
              </w:rPr>
              <w:t>4、各种营养素分别来自动物性食物、植物性食物的百分比（食物来源分析）。</w:t>
            </w:r>
          </w:p>
          <w:p>
            <w:pPr>
              <w:ind w:firstLine="180" w:firstLineChars="100"/>
              <w:rPr>
                <w:rFonts w:ascii="宋体" w:hAnsi="宋体"/>
                <w:color w:val="323E32"/>
                <w:sz w:val="18"/>
                <w:szCs w:val="18"/>
              </w:rPr>
            </w:pPr>
            <w:r>
              <w:rPr>
                <w:rFonts w:ascii="宋体" w:hAnsi="宋体" w:cs="宋体"/>
                <w:color w:val="323E32"/>
                <w:kern w:val="0"/>
                <w:sz w:val="18"/>
                <w:szCs w:val="18"/>
              </w:rPr>
              <w:t>5、各类食物摄入量与中国居民膳食指南建议摄入量的比较（饮食结构分析）</w:t>
            </w:r>
          </w:p>
        </w:tc>
        <w:tc>
          <w:tcPr>
            <w:tcW w:w="610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vMerge w:val="continue"/>
            <w:shd w:val="clear" w:color="auto" w:fill="auto"/>
            <w:vAlign w:val="center"/>
          </w:tcPr>
          <w:p>
            <w:pPr>
              <w:spacing w:line="240" w:lineRule="atLeast"/>
              <w:jc w:val="center"/>
              <w:rPr>
                <w:szCs w:val="24"/>
              </w:rPr>
            </w:pPr>
          </w:p>
        </w:tc>
        <w:tc>
          <w:tcPr>
            <w:tcW w:w="1477" w:type="dxa"/>
            <w:vMerge w:val="continue"/>
            <w:shd w:val="clear" w:color="auto" w:fill="FFFFFF"/>
            <w:vAlign w:val="center"/>
          </w:tcPr>
          <w:p>
            <w:pPr>
              <w:widowControl/>
              <w:spacing w:line="240" w:lineRule="atLeast"/>
              <w:jc w:val="left"/>
              <w:textAlignment w:val="center"/>
              <w:rPr>
                <w:szCs w:val="24"/>
              </w:rPr>
            </w:pPr>
          </w:p>
        </w:tc>
        <w:tc>
          <w:tcPr>
            <w:tcW w:w="5653" w:type="dxa"/>
            <w:vAlign w:val="center"/>
          </w:tcPr>
          <w:p>
            <w:pPr>
              <w:pStyle w:val="5"/>
              <w:spacing w:before="0" w:beforeAutospacing="0" w:after="0" w:afterAutospacing="0"/>
              <w:rPr>
                <w:color w:val="323E32"/>
                <w:sz w:val="18"/>
                <w:szCs w:val="18"/>
              </w:rPr>
            </w:pPr>
            <w:r>
              <w:rPr>
                <w:color w:val="323E32"/>
                <w:sz w:val="18"/>
                <w:szCs w:val="18"/>
              </w:rPr>
              <w:t>三. 营养查询</w:t>
            </w:r>
          </w:p>
          <w:p>
            <w:pPr>
              <w:ind w:firstLine="180" w:firstLineChars="100"/>
              <w:rPr>
                <w:rFonts w:ascii="宋体" w:hAnsi="宋体" w:cs="宋体"/>
                <w:color w:val="323E32"/>
                <w:kern w:val="0"/>
                <w:sz w:val="18"/>
                <w:szCs w:val="18"/>
              </w:rPr>
            </w:pPr>
            <w:r>
              <w:rPr>
                <w:rFonts w:ascii="宋体" w:hAnsi="宋体"/>
                <w:color w:val="323E32"/>
                <w:sz w:val="18"/>
                <w:szCs w:val="18"/>
              </w:rPr>
              <w:t> </w:t>
            </w:r>
            <w:r>
              <w:rPr>
                <w:rFonts w:ascii="宋体" w:hAnsi="宋体" w:cs="宋体"/>
                <w:color w:val="323E32"/>
                <w:kern w:val="0"/>
                <w:sz w:val="18"/>
                <w:szCs w:val="18"/>
              </w:rPr>
              <w:t>l、营养素查询：查询食物中的营养素含量。</w:t>
            </w:r>
          </w:p>
          <w:p>
            <w:pPr>
              <w:ind w:firstLine="180" w:firstLineChars="100"/>
              <w:rPr>
                <w:rFonts w:ascii="宋体" w:hAnsi="宋体" w:cs="宋体"/>
                <w:color w:val="323E32"/>
                <w:kern w:val="0"/>
                <w:sz w:val="18"/>
                <w:szCs w:val="18"/>
              </w:rPr>
            </w:pPr>
            <w:r>
              <w:rPr>
                <w:rFonts w:ascii="宋体" w:hAnsi="宋体" w:cs="宋体"/>
                <w:color w:val="323E32"/>
                <w:kern w:val="0"/>
                <w:sz w:val="18"/>
                <w:szCs w:val="18"/>
              </w:rPr>
              <w:t>2、食物查询：查询营养素在哪些食物中含量最多</w:t>
            </w:r>
            <w:r>
              <w:rPr>
                <w:rFonts w:hint="eastAsia" w:ascii="宋体" w:hAnsi="宋体" w:cs="宋体"/>
                <w:color w:val="323E32"/>
                <w:kern w:val="0"/>
                <w:sz w:val="18"/>
                <w:szCs w:val="18"/>
              </w:rPr>
              <w:t>（前100名）</w:t>
            </w:r>
            <w:r>
              <w:rPr>
                <w:rFonts w:ascii="宋体" w:hAnsi="宋体" w:cs="宋体"/>
                <w:color w:val="323E32"/>
                <w:kern w:val="0"/>
                <w:sz w:val="18"/>
                <w:szCs w:val="18"/>
              </w:rPr>
              <w:t>。</w:t>
            </w:r>
          </w:p>
          <w:p>
            <w:pPr>
              <w:ind w:firstLine="180" w:firstLineChars="100"/>
              <w:rPr>
                <w:rFonts w:ascii="宋体" w:hAnsi="宋体" w:cs="宋体"/>
                <w:color w:val="323E32"/>
                <w:kern w:val="0"/>
                <w:sz w:val="18"/>
                <w:szCs w:val="18"/>
              </w:rPr>
            </w:pPr>
            <w:r>
              <w:rPr>
                <w:rFonts w:ascii="宋体" w:hAnsi="宋体" w:cs="宋体"/>
                <w:color w:val="323E32"/>
                <w:kern w:val="0"/>
                <w:sz w:val="18"/>
                <w:szCs w:val="18"/>
              </w:rPr>
              <w:t>3、营养素推荐摄入量查询：查询每人每日的标准营养素摄入量。</w:t>
            </w:r>
          </w:p>
          <w:p>
            <w:pPr>
              <w:ind w:firstLine="180" w:firstLineChars="100"/>
              <w:rPr>
                <w:szCs w:val="21"/>
              </w:rPr>
            </w:pPr>
            <w:r>
              <w:rPr>
                <w:rFonts w:ascii="宋体" w:hAnsi="宋体" w:cs="宋体"/>
                <w:color w:val="323E32"/>
                <w:kern w:val="0"/>
                <w:sz w:val="18"/>
                <w:szCs w:val="18"/>
              </w:rPr>
              <w:t>4、平衡膳食宝塔查询：即查询中国居民膳食指南中建议的各类食物摄入量</w:t>
            </w:r>
            <w:r>
              <w:rPr>
                <w:rFonts w:ascii="宋体" w:hAnsi="宋体"/>
                <w:color w:val="323E32"/>
                <w:sz w:val="18"/>
                <w:szCs w:val="18"/>
              </w:rPr>
              <w:t>。</w:t>
            </w:r>
            <w:r>
              <w:rPr>
                <w:rFonts w:hint="eastAsia" w:ascii="宋体" w:hAnsi="宋体"/>
                <w:color w:val="323E32"/>
                <w:sz w:val="18"/>
                <w:szCs w:val="18"/>
              </w:rPr>
              <w:t xml:space="preserve"> </w:t>
            </w:r>
          </w:p>
        </w:tc>
        <w:tc>
          <w:tcPr>
            <w:tcW w:w="610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1" w:hRule="atLeast"/>
        </w:trPr>
        <w:tc>
          <w:tcPr>
            <w:tcW w:w="490" w:type="dxa"/>
            <w:vMerge w:val="continue"/>
            <w:shd w:val="clear" w:color="auto" w:fill="auto"/>
            <w:vAlign w:val="top"/>
          </w:tcPr>
          <w:p>
            <w:pPr>
              <w:spacing w:line="240" w:lineRule="atLeast"/>
              <w:jc w:val="center"/>
              <w:rPr>
                <w:szCs w:val="24"/>
              </w:rPr>
            </w:pPr>
          </w:p>
        </w:tc>
        <w:tc>
          <w:tcPr>
            <w:tcW w:w="1477" w:type="dxa"/>
            <w:vMerge w:val="continue"/>
            <w:shd w:val="clear" w:color="auto" w:fill="FFFFFF"/>
            <w:vAlign w:val="center"/>
          </w:tcPr>
          <w:p>
            <w:pPr>
              <w:widowControl/>
              <w:spacing w:line="240" w:lineRule="atLeast"/>
              <w:jc w:val="left"/>
              <w:textAlignment w:val="center"/>
              <w:rPr>
                <w:szCs w:val="24"/>
              </w:rPr>
            </w:pPr>
          </w:p>
        </w:tc>
        <w:tc>
          <w:tcPr>
            <w:tcW w:w="5653" w:type="dxa"/>
            <w:vAlign w:val="top"/>
          </w:tcPr>
          <w:p>
            <w:pPr>
              <w:rPr>
                <w:rFonts w:ascii="宋体" w:hAnsi="宋体"/>
                <w:color w:val="323E32"/>
                <w:sz w:val="18"/>
                <w:szCs w:val="18"/>
              </w:rPr>
            </w:pPr>
            <w:r>
              <w:rPr>
                <w:rStyle w:val="14"/>
                <w:rFonts w:ascii="宋体" w:hAnsi="宋体"/>
                <w:color w:val="323E32"/>
                <w:sz w:val="18"/>
                <w:szCs w:val="18"/>
              </w:rPr>
              <w:t> </w:t>
            </w:r>
            <w:r>
              <w:rPr>
                <w:rStyle w:val="14"/>
                <w:rFonts w:hint="eastAsia" w:ascii="宋体" w:hAnsi="宋体"/>
                <w:color w:val="323E32"/>
                <w:sz w:val="18"/>
                <w:szCs w:val="18"/>
              </w:rPr>
              <w:t xml:space="preserve"> </w:t>
            </w:r>
            <w:r>
              <w:rPr>
                <w:rFonts w:ascii="宋体" w:hAnsi="宋体"/>
                <w:color w:val="323E32"/>
                <w:sz w:val="18"/>
                <w:szCs w:val="18"/>
              </w:rPr>
              <w:t>四. 数据的保存、导出、打印</w:t>
            </w:r>
          </w:p>
          <w:p>
            <w:pPr>
              <w:rPr>
                <w:rFonts w:ascii="宋体" w:hAnsi="宋体" w:cs="宋体"/>
                <w:color w:val="323E32"/>
                <w:kern w:val="0"/>
                <w:sz w:val="18"/>
                <w:szCs w:val="18"/>
              </w:rPr>
            </w:pPr>
            <w:r>
              <w:rPr>
                <w:rFonts w:ascii="宋体" w:hAnsi="宋体"/>
                <w:color w:val="323E32"/>
                <w:sz w:val="18"/>
                <w:szCs w:val="18"/>
              </w:rPr>
              <w:t>  </w:t>
            </w:r>
            <w:r>
              <w:rPr>
                <w:rFonts w:hint="eastAsia" w:ascii="宋体" w:hAnsi="宋体"/>
                <w:color w:val="323E32"/>
                <w:sz w:val="18"/>
                <w:szCs w:val="18"/>
              </w:rPr>
              <w:t xml:space="preserve"> </w:t>
            </w:r>
            <w:r>
              <w:rPr>
                <w:rStyle w:val="14"/>
                <w:rFonts w:ascii="宋体" w:hAnsi="宋体"/>
                <w:color w:val="323E32"/>
                <w:sz w:val="18"/>
                <w:szCs w:val="18"/>
              </w:rPr>
              <w:t> </w:t>
            </w:r>
            <w:r>
              <w:rPr>
                <w:rFonts w:ascii="宋体" w:hAnsi="宋体" w:cs="宋体"/>
                <w:color w:val="323E32"/>
                <w:kern w:val="0"/>
                <w:sz w:val="18"/>
                <w:szCs w:val="18"/>
              </w:rPr>
              <w:t>1、保存计算结果为磁盘文件，方便数据的备份及转移。可将该磁盘文件通过U盘或QQ、mail传送到其它电脑中，实现数据共享。</w:t>
            </w:r>
          </w:p>
          <w:p>
            <w:pPr>
              <w:ind w:firstLine="180" w:firstLineChars="100"/>
              <w:rPr>
                <w:rFonts w:ascii="宋体" w:hAnsi="宋体" w:cs="宋体"/>
                <w:color w:val="323E32"/>
                <w:kern w:val="0"/>
                <w:sz w:val="18"/>
                <w:szCs w:val="18"/>
              </w:rPr>
            </w:pPr>
            <w:r>
              <w:rPr>
                <w:rFonts w:ascii="宋体" w:hAnsi="宋体" w:cs="宋体"/>
                <w:color w:val="323E32"/>
                <w:kern w:val="0"/>
                <w:sz w:val="18"/>
                <w:szCs w:val="18"/>
              </w:rPr>
              <w:t>2、可将计算结果导出到Excel表中，包括所录入的食物、用量、营养素摄入量，以及上述的营养状况分析等数据，便于对数据进行更进一步的处理。</w:t>
            </w:r>
          </w:p>
          <w:p>
            <w:pPr>
              <w:ind w:firstLine="180" w:firstLineChars="100"/>
              <w:rPr>
                <w:szCs w:val="21"/>
              </w:rPr>
            </w:pPr>
            <w:r>
              <w:rPr>
                <w:rFonts w:ascii="宋体" w:hAnsi="宋体" w:cs="宋体"/>
                <w:color w:val="323E32"/>
                <w:kern w:val="0"/>
                <w:sz w:val="18"/>
                <w:szCs w:val="18"/>
              </w:rPr>
              <w:t>3、数据打印功能：能将计算结果及营养分析打印输出</w:t>
            </w:r>
            <w:r>
              <w:rPr>
                <w:rFonts w:ascii="宋体" w:hAnsi="宋体"/>
                <w:color w:val="323E32"/>
                <w:sz w:val="18"/>
                <w:szCs w:val="18"/>
              </w:rPr>
              <w:t>。</w:t>
            </w:r>
          </w:p>
        </w:tc>
        <w:tc>
          <w:tcPr>
            <w:tcW w:w="610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vMerge w:val="continue"/>
            <w:shd w:val="clear" w:color="auto" w:fill="auto"/>
            <w:vAlign w:val="top"/>
          </w:tcPr>
          <w:p>
            <w:pPr>
              <w:spacing w:line="240" w:lineRule="atLeast"/>
              <w:jc w:val="center"/>
              <w:rPr>
                <w:szCs w:val="24"/>
              </w:rPr>
            </w:pPr>
          </w:p>
        </w:tc>
        <w:tc>
          <w:tcPr>
            <w:tcW w:w="1477" w:type="dxa"/>
            <w:vMerge w:val="continue"/>
            <w:shd w:val="clear" w:color="auto" w:fill="FFFFFF"/>
            <w:vAlign w:val="center"/>
          </w:tcPr>
          <w:p>
            <w:pPr>
              <w:widowControl/>
              <w:spacing w:line="240" w:lineRule="atLeast"/>
              <w:jc w:val="left"/>
              <w:textAlignment w:val="center"/>
              <w:rPr>
                <w:szCs w:val="24"/>
              </w:rPr>
            </w:pPr>
          </w:p>
        </w:tc>
        <w:tc>
          <w:tcPr>
            <w:tcW w:w="5653" w:type="dxa"/>
            <w:vAlign w:val="top"/>
          </w:tcPr>
          <w:p>
            <w:pPr>
              <w:pStyle w:val="5"/>
              <w:spacing w:before="0" w:beforeAutospacing="0" w:after="0" w:afterAutospacing="0"/>
              <w:ind w:firstLine="90" w:firstLineChars="50"/>
              <w:rPr>
                <w:color w:val="323E32"/>
                <w:sz w:val="18"/>
                <w:szCs w:val="18"/>
              </w:rPr>
            </w:pPr>
            <w:r>
              <w:rPr>
                <w:rFonts w:hint="eastAsia"/>
                <w:color w:val="323E32"/>
                <w:sz w:val="18"/>
                <w:szCs w:val="18"/>
              </w:rPr>
              <w:t>五、数据来源</w:t>
            </w:r>
          </w:p>
          <w:p>
            <w:pPr>
              <w:ind w:firstLine="180" w:firstLineChars="100"/>
              <w:rPr>
                <w:rFonts w:ascii="宋体" w:hAnsi="宋体" w:cs="宋体"/>
                <w:color w:val="323E32"/>
                <w:kern w:val="0"/>
                <w:sz w:val="18"/>
                <w:szCs w:val="18"/>
              </w:rPr>
            </w:pPr>
            <w:r>
              <w:rPr>
                <w:rFonts w:hint="eastAsia" w:ascii="宋体" w:hAnsi="宋体" w:cs="宋体"/>
                <w:color w:val="323E32"/>
                <w:kern w:val="0"/>
                <w:sz w:val="18"/>
                <w:szCs w:val="18"/>
              </w:rPr>
              <w:t>1、</w:t>
            </w:r>
            <w:r>
              <w:rPr>
                <w:rFonts w:ascii="宋体" w:hAnsi="宋体" w:cs="宋体"/>
                <w:color w:val="323E32"/>
                <w:kern w:val="0"/>
                <w:sz w:val="18"/>
                <w:szCs w:val="18"/>
              </w:rPr>
              <w:t>标准营养素摄入量</w:t>
            </w:r>
            <w:r>
              <w:rPr>
                <w:rFonts w:hint="eastAsia" w:ascii="宋体" w:hAnsi="宋体" w:cs="宋体"/>
                <w:color w:val="323E32"/>
                <w:kern w:val="0"/>
                <w:sz w:val="18"/>
                <w:szCs w:val="18"/>
              </w:rPr>
              <w:t>数据源自2013版DRIs</w:t>
            </w:r>
          </w:p>
          <w:p>
            <w:pPr>
              <w:ind w:firstLine="180" w:firstLineChars="100"/>
              <w:rPr>
                <w:rFonts w:ascii="宋体" w:hAnsi="宋体" w:cs="宋体"/>
                <w:color w:val="323E32"/>
                <w:kern w:val="0"/>
                <w:sz w:val="18"/>
                <w:szCs w:val="18"/>
              </w:rPr>
            </w:pPr>
            <w:r>
              <w:rPr>
                <w:rFonts w:hint="eastAsia" w:ascii="宋体" w:hAnsi="宋体" w:cs="宋体"/>
                <w:color w:val="323E32"/>
                <w:kern w:val="0"/>
                <w:sz w:val="18"/>
                <w:szCs w:val="18"/>
              </w:rPr>
              <w:t>2、膳食指南基础数据源自中国营养学会最新版《中国居民膳食指南2016》</w:t>
            </w:r>
          </w:p>
          <w:p>
            <w:pPr>
              <w:ind w:firstLine="180" w:firstLineChars="100"/>
              <w:rPr>
                <w:szCs w:val="21"/>
              </w:rPr>
            </w:pPr>
            <w:r>
              <w:rPr>
                <w:rFonts w:hint="eastAsia" w:ascii="宋体" w:hAnsi="宋体" w:cs="宋体"/>
                <w:color w:val="323E32"/>
                <w:kern w:val="0"/>
                <w:sz w:val="18"/>
                <w:szCs w:val="18"/>
              </w:rPr>
              <w:t>3、基础数据源自国家标准CDC《食物成分列表》</w:t>
            </w:r>
          </w:p>
        </w:tc>
        <w:tc>
          <w:tcPr>
            <w:tcW w:w="610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vMerge w:val="continue"/>
            <w:shd w:val="clear" w:color="auto" w:fill="auto"/>
            <w:vAlign w:val="top"/>
          </w:tcPr>
          <w:p>
            <w:pPr>
              <w:spacing w:line="240" w:lineRule="atLeast"/>
              <w:jc w:val="center"/>
              <w:rPr>
                <w:rFonts w:hint="eastAsia"/>
                <w:szCs w:val="24"/>
              </w:rPr>
            </w:pPr>
          </w:p>
        </w:tc>
        <w:tc>
          <w:tcPr>
            <w:tcW w:w="1477" w:type="dxa"/>
            <w:vMerge w:val="continue"/>
            <w:shd w:val="clear" w:color="auto" w:fill="FFFFFF"/>
            <w:vAlign w:val="center"/>
          </w:tcPr>
          <w:p>
            <w:pPr>
              <w:widowControl/>
              <w:spacing w:line="240" w:lineRule="atLeast"/>
              <w:jc w:val="left"/>
              <w:textAlignment w:val="center"/>
              <w:rPr>
                <w:rFonts w:hint="eastAsia"/>
                <w:b/>
                <w:bCs/>
                <w:szCs w:val="21"/>
              </w:rPr>
            </w:pPr>
          </w:p>
        </w:tc>
        <w:tc>
          <w:tcPr>
            <w:tcW w:w="5653" w:type="dxa"/>
            <w:vAlign w:val="top"/>
          </w:tcPr>
          <w:p>
            <w:pPr>
              <w:ind w:firstLine="180" w:firstLineChars="100"/>
              <w:rPr>
                <w:rFonts w:hint="eastAsia"/>
                <w:szCs w:val="21"/>
              </w:rPr>
            </w:pPr>
            <w:r>
              <w:rPr>
                <w:rFonts w:hint="eastAsia" w:ascii="宋体" w:hAnsi="宋体" w:cs="宋体"/>
                <w:color w:val="323E32"/>
                <w:kern w:val="0"/>
                <w:sz w:val="18"/>
                <w:szCs w:val="18"/>
                <w:lang w:eastAsia="zh-CN"/>
              </w:rPr>
              <w:t>六</w:t>
            </w:r>
            <w:r>
              <w:rPr>
                <w:rFonts w:hint="eastAsia" w:ascii="宋体" w:hAnsi="宋体" w:cs="宋体"/>
                <w:color w:val="323E32"/>
                <w:kern w:val="0"/>
                <w:sz w:val="18"/>
                <w:szCs w:val="18"/>
              </w:rPr>
              <w:t>、购买数量：32套</w:t>
            </w:r>
          </w:p>
        </w:tc>
        <w:tc>
          <w:tcPr>
            <w:tcW w:w="610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477" w:type="dxa"/>
            <w:shd w:val="clear" w:color="auto" w:fill="FFFFFF"/>
            <w:vAlign w:val="center"/>
          </w:tcPr>
          <w:p>
            <w:pPr>
              <w:widowControl/>
              <w:spacing w:line="240" w:lineRule="atLeast"/>
              <w:jc w:val="left"/>
              <w:textAlignment w:val="center"/>
              <w:rPr>
                <w:rFonts w:hint="eastAsia"/>
                <w:b/>
                <w:bCs/>
                <w:szCs w:val="21"/>
              </w:rPr>
            </w:pPr>
            <w:r>
              <w:rPr>
                <w:rFonts w:hint="eastAsia"/>
                <w:b/>
                <w:bCs/>
                <w:szCs w:val="21"/>
              </w:rPr>
              <w:t>售后服务</w:t>
            </w:r>
          </w:p>
        </w:tc>
        <w:tc>
          <w:tcPr>
            <w:tcW w:w="5653" w:type="dxa"/>
            <w:vAlign w:val="top"/>
          </w:tcPr>
          <w:p>
            <w:pPr>
              <w:ind w:firstLine="180" w:firstLineChars="100"/>
              <w:rPr>
                <w:rFonts w:ascii="宋体" w:hAnsi="宋体" w:cs="宋体"/>
                <w:color w:val="323E32"/>
                <w:kern w:val="0"/>
                <w:sz w:val="18"/>
                <w:szCs w:val="18"/>
              </w:rPr>
            </w:pPr>
            <w:r>
              <w:rPr>
                <w:rFonts w:hint="eastAsia" w:ascii="宋体" w:hAnsi="宋体" w:cs="宋体"/>
                <w:color w:val="323E32"/>
                <w:kern w:val="0"/>
                <w:sz w:val="18"/>
                <w:szCs w:val="18"/>
              </w:rPr>
              <w:t>1、提供上门安装和培训服务</w:t>
            </w:r>
          </w:p>
          <w:p>
            <w:pPr>
              <w:spacing w:line="240" w:lineRule="atLeast"/>
              <w:ind w:firstLine="180" w:firstLineChars="100"/>
              <w:jc w:val="left"/>
              <w:rPr>
                <w:rFonts w:hint="eastAsia" w:ascii="宋体" w:hAnsi="宋体" w:cs="宋体"/>
                <w:color w:val="323E32"/>
                <w:kern w:val="0"/>
                <w:sz w:val="18"/>
                <w:szCs w:val="18"/>
                <w:lang w:eastAsia="zh-CN"/>
              </w:rPr>
            </w:pPr>
            <w:r>
              <w:rPr>
                <w:rFonts w:hint="eastAsia" w:ascii="宋体" w:hAnsi="宋体" w:cs="宋体"/>
                <w:color w:val="323E32"/>
                <w:kern w:val="0"/>
                <w:sz w:val="18"/>
                <w:szCs w:val="18"/>
              </w:rPr>
              <w:t>2、软件享有终身免费技术支持及三年免费软件升级服务</w:t>
            </w:r>
          </w:p>
        </w:tc>
        <w:tc>
          <w:tcPr>
            <w:tcW w:w="610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477" w:type="dxa"/>
            <w:shd w:val="clear" w:color="auto" w:fill="FFFFFF"/>
            <w:vAlign w:val="center"/>
          </w:tcPr>
          <w:p>
            <w:pPr>
              <w:widowControl/>
              <w:spacing w:line="240" w:lineRule="atLeast"/>
              <w:jc w:val="left"/>
              <w:textAlignment w:val="center"/>
              <w:rPr>
                <w:rFonts w:hint="eastAsia"/>
                <w:b/>
                <w:bCs/>
                <w:szCs w:val="21"/>
              </w:rPr>
            </w:pPr>
            <w:r>
              <w:rPr>
                <w:rFonts w:hint="eastAsia"/>
                <w:b/>
                <w:bCs/>
                <w:szCs w:val="21"/>
                <w:lang w:eastAsia="zh-CN"/>
              </w:rPr>
              <w:t>付款方式说明</w:t>
            </w:r>
          </w:p>
        </w:tc>
        <w:tc>
          <w:tcPr>
            <w:tcW w:w="5653" w:type="dxa"/>
            <w:vAlign w:val="top"/>
          </w:tcPr>
          <w:p>
            <w:pPr>
              <w:ind w:firstLine="180" w:firstLineChars="100"/>
              <w:rPr>
                <w:rFonts w:hint="eastAsia" w:ascii="宋体" w:hAnsi="宋体" w:cs="宋体"/>
                <w:color w:val="323E32"/>
                <w:kern w:val="0"/>
                <w:sz w:val="18"/>
                <w:szCs w:val="18"/>
              </w:rPr>
            </w:pPr>
            <w:r>
              <w:rPr>
                <w:rFonts w:hint="eastAsia" w:ascii="宋体" w:hAnsi="宋体" w:cs="宋体"/>
                <w:color w:val="323E32"/>
                <w:kern w:val="0"/>
                <w:sz w:val="18"/>
                <w:szCs w:val="18"/>
              </w:rPr>
              <w:t>货物安装调试并验收合格后中标方向我院提供100%的货款正规含税发票，学院支付95%的设备价款，余下的5％设备价款作为售后服务保证金，该保证金若货物验收合格之日起满一年后无质量和售后服务问题一次性无息退还。</w:t>
            </w:r>
          </w:p>
        </w:tc>
        <w:tc>
          <w:tcPr>
            <w:tcW w:w="610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bl>
    <w:p>
      <w:pPr>
        <w:adjustRightInd w:val="0"/>
        <w:snapToGrid w:val="0"/>
        <w:spacing w:line="300" w:lineRule="auto"/>
        <w:jc w:val="both"/>
        <w:outlineLvl w:val="0"/>
        <w:rPr>
          <w:rFonts w:hint="eastAsia"/>
          <w:b/>
          <w:bCs/>
          <w:color w:val="auto"/>
          <w:sz w:val="28"/>
          <w:szCs w:val="28"/>
        </w:rPr>
      </w:pP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《规格响应表》填写须知：</w:t>
      </w:r>
    </w:p>
    <w:p>
      <w:pPr>
        <w:spacing w:line="240" w:lineRule="atLeast"/>
        <w:ind w:firstLine="480" w:firstLineChars="20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1、供货商必须将自己所投产品或服务真实、准确填写“</w:t>
      </w:r>
      <w:r>
        <w:rPr>
          <w:rFonts w:hint="eastAsia" w:ascii="宋体" w:hAnsi="宋体" w:eastAsia="宋体" w:cs="宋体"/>
          <w:b w:val="0"/>
          <w:i w:val="0"/>
          <w:caps w:val="0"/>
          <w:color w:val="000000"/>
          <w:spacing w:val="0"/>
          <w:sz w:val="24"/>
          <w:szCs w:val="24"/>
        </w:rPr>
        <w:t>供应商所投产品的规格、参数</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rPr>
        <w:t>响应情况</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w:t>
      </w:r>
    </w:p>
    <w:p>
      <w:pPr>
        <w:spacing w:line="240" w:lineRule="atLeast"/>
        <w:ind w:firstLine="480" w:firstLineChars="200"/>
        <w:jc w:val="left"/>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pPr>
      <w:r>
        <w:rPr>
          <w:rFonts w:hint="eastAsia" w:ascii="宋体" w:hAnsi="宋体" w:eastAsia="宋体" w:cs="宋体"/>
          <w:b w:val="0"/>
          <w:i w:val="0"/>
          <w:caps w:val="0"/>
          <w:color w:val="000000"/>
          <w:spacing w:val="0"/>
          <w:sz w:val="24"/>
          <w:szCs w:val="24"/>
          <w:lang w:val="en-US" w:eastAsia="zh-CN"/>
        </w:rPr>
        <w:t>2、根据自己所投产品与“</w:t>
      </w:r>
      <w:r>
        <w:rPr>
          <w:rFonts w:hint="eastAsia" w:ascii="宋体" w:hAnsi="宋体" w:eastAsia="宋体" w:cs="宋体"/>
          <w:b w:val="0"/>
          <w:i w:val="0"/>
          <w:caps w:val="0"/>
          <w:color w:val="000000"/>
          <w:spacing w:val="0"/>
          <w:sz w:val="24"/>
          <w:szCs w:val="24"/>
        </w:rPr>
        <w:t>询价采购文件规定的规格、参数</w:t>
      </w:r>
      <w:r>
        <w:rPr>
          <w:rFonts w:hint="eastAsia" w:ascii="宋体" w:hAnsi="宋体" w:eastAsia="宋体" w:cs="宋体"/>
          <w:b w:val="0"/>
          <w:i w:val="0"/>
          <w:caps w:val="0"/>
          <w:color w:val="000000"/>
          <w:spacing w:val="0"/>
          <w:sz w:val="24"/>
          <w:szCs w:val="24"/>
          <w:lang w:val="en-US" w:eastAsia="zh-CN"/>
        </w:rPr>
        <w:t>”的差异情况，实事求是地填写“响应情况”（</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），并</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将这些差异内容用加粗的字体显示出来，</w:t>
      </w:r>
      <w:r>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t>任何规格参数出现负偏离则视为无效投标。</w:t>
      </w: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3、供应商必须填写售后服务及售后服务响应情况；付款方式说明为告知内容可不填写。</w:t>
      </w: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p>
    <w:p>
      <w:pPr>
        <w:adjustRightInd w:val="0"/>
        <w:snapToGrid w:val="0"/>
        <w:spacing w:line="300" w:lineRule="auto"/>
        <w:jc w:val="center"/>
        <w:outlineLvl w:val="0"/>
        <w:rPr>
          <w:rFonts w:hint="eastAsia"/>
          <w:b/>
          <w:bCs/>
          <w:color w:val="auto"/>
          <w:sz w:val="28"/>
          <w:szCs w:val="28"/>
        </w:rPr>
      </w:pPr>
      <w:r>
        <w:rPr>
          <w:rFonts w:hint="eastAsia"/>
          <w:b/>
          <w:bCs/>
          <w:color w:val="auto"/>
          <w:sz w:val="28"/>
          <w:szCs w:val="28"/>
        </w:rPr>
        <w:t>报价一览表</w:t>
      </w:r>
    </w:p>
    <w:tbl>
      <w:tblPr>
        <w:tblStyle w:val="9"/>
        <w:tblpPr w:leftFromText="180" w:rightFromText="180" w:vertAnchor="text" w:horzAnchor="page" w:tblpX="2503" w:tblpY="310"/>
        <w:tblOverlap w:val="never"/>
        <w:tblW w:w="119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227"/>
        <w:gridCol w:w="4749"/>
        <w:gridCol w:w="1159"/>
        <w:gridCol w:w="1800"/>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9" w:hRule="atLeast"/>
          <w:jc w:val="center"/>
        </w:trPr>
        <w:tc>
          <w:tcPr>
            <w:tcW w:w="69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序号</w:t>
            </w:r>
          </w:p>
        </w:tc>
        <w:tc>
          <w:tcPr>
            <w:tcW w:w="2227"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询价项目名称</w:t>
            </w:r>
          </w:p>
        </w:tc>
        <w:tc>
          <w:tcPr>
            <w:tcW w:w="4749" w:type="dxa"/>
            <w:vAlign w:val="center"/>
          </w:tcPr>
          <w:p>
            <w:pPr>
              <w:widowControl/>
              <w:spacing w:before="180" w:line="345" w:lineRule="atLeast"/>
              <w:jc w:val="center"/>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报价货物品牌、型号、售后服务</w:t>
            </w: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数量</w:t>
            </w:r>
          </w:p>
        </w:tc>
        <w:tc>
          <w:tcPr>
            <w:tcW w:w="1800"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采购控制价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c>
          <w:tcPr>
            <w:tcW w:w="1334"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投标人报价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1</w:t>
            </w:r>
          </w:p>
        </w:tc>
        <w:tc>
          <w:tcPr>
            <w:tcW w:w="2227" w:type="dxa"/>
            <w:shd w:val="clear" w:color="auto" w:fill="FFFFFF"/>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营养教学软件</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1批</w:t>
            </w:r>
          </w:p>
        </w:tc>
        <w:tc>
          <w:tcPr>
            <w:tcW w:w="1800"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25000</w:t>
            </w:r>
          </w:p>
        </w:tc>
        <w:tc>
          <w:tcPr>
            <w:tcW w:w="1334"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rPr>
              <w:t xml:space="preserve">总报价：（大写）     拾      万      仟     佰     拾     元     角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rPr>
            </w:pPr>
            <w:r>
              <w:rPr>
                <w:rFonts w:hint="eastAsia" w:ascii="宋体" w:hAnsi="宋体"/>
                <w:lang w:eastAsia="zh-CN"/>
              </w:rPr>
              <w:t>投</w:t>
            </w:r>
            <w:r>
              <w:rPr>
                <w:rFonts w:hint="eastAsia" w:ascii="宋体" w:hAnsi="宋体"/>
              </w:rPr>
              <w:t>标人代表</w:t>
            </w:r>
            <w:r>
              <w:rPr>
                <w:rFonts w:hint="eastAsia" w:ascii="宋体" w:hAnsi="宋体"/>
                <w:lang w:eastAsia="zh-CN"/>
              </w:rPr>
              <w:t>签字</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时间：二○一七年   月   日</w:t>
            </w:r>
          </w:p>
        </w:tc>
      </w:tr>
    </w:tbl>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eastAsia="宋体" w:cs="宋体"/>
          <w:b/>
          <w:bCs/>
          <w:color w:val="444444"/>
          <w:kern w:val="0"/>
          <w:sz w:val="21"/>
          <w:szCs w:val="21"/>
          <w:lang w:eastAsia="zh-CN"/>
        </w:rPr>
      </w:pPr>
      <w:bookmarkStart w:id="1" w:name="_GoBack"/>
      <w:bookmarkEnd w:id="1"/>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《报价一览表》填写须知</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1.</w:t>
      </w:r>
      <w:r>
        <w:rPr>
          <w:rFonts w:hint="eastAsia" w:ascii="宋体" w:hAnsi="宋体" w:eastAsia="宋体" w:cs="宋体"/>
          <w:b/>
          <w:bCs/>
          <w:color w:val="444444"/>
          <w:kern w:val="0"/>
          <w:sz w:val="21"/>
          <w:szCs w:val="21"/>
          <w:lang w:eastAsia="zh-CN"/>
        </w:rPr>
        <w:t>《报价一览表》每一页均需加盖单位盖章。</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2.</w:t>
      </w:r>
      <w:r>
        <w:rPr>
          <w:rFonts w:hint="eastAsia" w:ascii="宋体" w:hAnsi="宋体" w:eastAsia="宋体" w:cs="宋体"/>
          <w:b/>
          <w:bCs/>
          <w:color w:val="444444"/>
          <w:kern w:val="0"/>
          <w:sz w:val="21"/>
          <w:szCs w:val="21"/>
          <w:lang w:eastAsia="zh-CN"/>
        </w:rPr>
        <w:t>《报价一览表》的报价为最终报价，不允许二次报价或对报价进行修改。</w:t>
      </w:r>
    </w:p>
    <w:p>
      <w:pPr>
        <w:widowControl/>
        <w:spacing w:before="180" w:line="345" w:lineRule="atLeast"/>
        <w:jc w:val="left"/>
        <w:rPr>
          <w:rFonts w:hint="eastAsia" w:ascii="宋体" w:hAnsi="宋体" w:eastAsia="宋体" w:cs="宋体"/>
          <w:b/>
          <w:bCs/>
          <w:color w:val="FF0000"/>
          <w:kern w:val="0"/>
          <w:sz w:val="21"/>
          <w:szCs w:val="21"/>
          <w:lang w:val="en-US" w:eastAsia="zh-CN"/>
        </w:rPr>
      </w:pPr>
      <w:r>
        <w:rPr>
          <w:rFonts w:hint="eastAsia" w:ascii="宋体" w:hAnsi="宋体" w:eastAsia="宋体" w:cs="宋体"/>
          <w:b/>
          <w:bCs/>
          <w:color w:val="FF0000"/>
          <w:kern w:val="0"/>
          <w:sz w:val="21"/>
          <w:szCs w:val="21"/>
          <w:lang w:val="en-US" w:eastAsia="zh-CN"/>
        </w:rPr>
        <w:t>3.《报价一览表》中各项报价不得高于采购控制价，报价高于采购控制价的均视为无效投标。</w:t>
      </w:r>
    </w:p>
    <w:p>
      <w:pPr>
        <w:widowControl/>
        <w:spacing w:before="180" w:line="345" w:lineRule="atLeast"/>
        <w:jc w:val="left"/>
        <w:rPr>
          <w:rFonts w:hint="eastAsia" w:ascii="宋体" w:hAnsi="宋体"/>
        </w:rPr>
      </w:pPr>
    </w:p>
    <w:sectPr>
      <w:pgSz w:w="16838" w:h="11906" w:orient="landscape"/>
      <w:pgMar w:top="580" w:right="820" w:bottom="432"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roman"/>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Segoe UI Symbol">
    <w:altName w:val="Segoe UI"/>
    <w:panose1 w:val="020B0502040204020203"/>
    <w:charset w:val="00"/>
    <w:family w:val="swiss"/>
    <w:pitch w:val="default"/>
    <w:sig w:usb0="00000000" w:usb1="00000000" w:usb2="00040000" w:usb3="00000000" w:csb0="00000001" w:csb1="00000000"/>
  </w:font>
  <w:font w:name="Segoe UI">
    <w:panose1 w:val="020B0502040204020203"/>
    <w:charset w:val="00"/>
    <w:family w:val="auto"/>
    <w:pitch w:val="default"/>
    <w:sig w:usb0="E00022FF" w:usb1="C000205B" w:usb2="00000009" w:usb3="00000000" w:csb0="200001DF" w:csb1="20080000"/>
  </w:font>
  <w:font w:name="Verdana">
    <w:panose1 w:val="020B0604030504040204"/>
    <w:charset w:val="00"/>
    <w:family w:val="swiss"/>
    <w:pitch w:val="default"/>
    <w:sig w:usb0="00000287" w:usb1="00000000" w:usb2="00000000" w:usb3="00000000" w:csb0="2000019F" w:csb1="00000000"/>
  </w:font>
  <w:font w:name="Courier New">
    <w:panose1 w:val="02070309020205020404"/>
    <w:charset w:val="00"/>
    <w:family w:val="modern"/>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00007A87" w:usb1="80000000" w:usb2="00000008" w:usb3="00000000" w:csb0="400001FF" w:csb1="FFFF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CG Times">
    <w:altName w:val="Times New Roman"/>
    <w:panose1 w:val="00000000000000000000"/>
    <w:charset w:val="00"/>
    <w:family w:val="roman"/>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楷体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080E0000" w:usb2="00000000" w:usb3="00000000" w:csb0="00040001" w:csb1="00000000"/>
  </w:font>
  <w:font w:name="_5b8b_4f53">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D6"/>
    <w:rsid w:val="00050B4D"/>
    <w:rsid w:val="00070EE6"/>
    <w:rsid w:val="00236C18"/>
    <w:rsid w:val="002456EF"/>
    <w:rsid w:val="003C5705"/>
    <w:rsid w:val="00451689"/>
    <w:rsid w:val="00465854"/>
    <w:rsid w:val="005F17EA"/>
    <w:rsid w:val="008B40A1"/>
    <w:rsid w:val="008F5147"/>
    <w:rsid w:val="009E66ED"/>
    <w:rsid w:val="00A21E0E"/>
    <w:rsid w:val="00A26227"/>
    <w:rsid w:val="00C5584D"/>
    <w:rsid w:val="00C70D2A"/>
    <w:rsid w:val="00C95B24"/>
    <w:rsid w:val="00CE008F"/>
    <w:rsid w:val="00DE79A4"/>
    <w:rsid w:val="00EA01C6"/>
    <w:rsid w:val="00F715D6"/>
    <w:rsid w:val="00FF29A6"/>
    <w:rsid w:val="02043FCF"/>
    <w:rsid w:val="024E258E"/>
    <w:rsid w:val="02CE3CE3"/>
    <w:rsid w:val="03837B83"/>
    <w:rsid w:val="03BE128D"/>
    <w:rsid w:val="04686E69"/>
    <w:rsid w:val="048A3EFA"/>
    <w:rsid w:val="075C3809"/>
    <w:rsid w:val="077B1C63"/>
    <w:rsid w:val="0BEC35F6"/>
    <w:rsid w:val="0BF875A1"/>
    <w:rsid w:val="0C3A749E"/>
    <w:rsid w:val="0C4C7F8B"/>
    <w:rsid w:val="0D5E549B"/>
    <w:rsid w:val="0E537B47"/>
    <w:rsid w:val="0FF06B03"/>
    <w:rsid w:val="112C7FDD"/>
    <w:rsid w:val="11A46471"/>
    <w:rsid w:val="13E41DD4"/>
    <w:rsid w:val="15583548"/>
    <w:rsid w:val="15F60B85"/>
    <w:rsid w:val="166A47DF"/>
    <w:rsid w:val="16AD613F"/>
    <w:rsid w:val="180145C5"/>
    <w:rsid w:val="19452A3C"/>
    <w:rsid w:val="195A4546"/>
    <w:rsid w:val="197628A4"/>
    <w:rsid w:val="19F33F76"/>
    <w:rsid w:val="1A347C37"/>
    <w:rsid w:val="1B7056EB"/>
    <w:rsid w:val="1BAB54AC"/>
    <w:rsid w:val="1CCE40B8"/>
    <w:rsid w:val="1D293B6D"/>
    <w:rsid w:val="1D3C473A"/>
    <w:rsid w:val="1E161604"/>
    <w:rsid w:val="1EC9096B"/>
    <w:rsid w:val="1ED8629B"/>
    <w:rsid w:val="212360FB"/>
    <w:rsid w:val="21B94AA3"/>
    <w:rsid w:val="21F541B0"/>
    <w:rsid w:val="244C6003"/>
    <w:rsid w:val="2554468F"/>
    <w:rsid w:val="256C64BF"/>
    <w:rsid w:val="26AC258B"/>
    <w:rsid w:val="26D14F47"/>
    <w:rsid w:val="277213F8"/>
    <w:rsid w:val="288621D9"/>
    <w:rsid w:val="28E8281A"/>
    <w:rsid w:val="29B328FB"/>
    <w:rsid w:val="29CB4FB8"/>
    <w:rsid w:val="29EC39E8"/>
    <w:rsid w:val="2A1A16EB"/>
    <w:rsid w:val="2AEB7A4C"/>
    <w:rsid w:val="2B480659"/>
    <w:rsid w:val="2C0815D1"/>
    <w:rsid w:val="2E6A72D7"/>
    <w:rsid w:val="319A1D3F"/>
    <w:rsid w:val="31F82ADC"/>
    <w:rsid w:val="325241F7"/>
    <w:rsid w:val="33806566"/>
    <w:rsid w:val="343A30A6"/>
    <w:rsid w:val="34FB094B"/>
    <w:rsid w:val="366E11ED"/>
    <w:rsid w:val="37A334E6"/>
    <w:rsid w:val="38274C0F"/>
    <w:rsid w:val="38393E34"/>
    <w:rsid w:val="384A3254"/>
    <w:rsid w:val="38702123"/>
    <w:rsid w:val="395C1069"/>
    <w:rsid w:val="3B822710"/>
    <w:rsid w:val="3C345715"/>
    <w:rsid w:val="3DD36A73"/>
    <w:rsid w:val="3E134C87"/>
    <w:rsid w:val="3E6F1FA6"/>
    <w:rsid w:val="3EAE2061"/>
    <w:rsid w:val="3F0D1FA4"/>
    <w:rsid w:val="3F252173"/>
    <w:rsid w:val="421A7168"/>
    <w:rsid w:val="4500717D"/>
    <w:rsid w:val="462B6795"/>
    <w:rsid w:val="46EF0183"/>
    <w:rsid w:val="48D5715C"/>
    <w:rsid w:val="48F17334"/>
    <w:rsid w:val="48F3368E"/>
    <w:rsid w:val="494C0D39"/>
    <w:rsid w:val="49850959"/>
    <w:rsid w:val="49A10AFA"/>
    <w:rsid w:val="4A2C00BC"/>
    <w:rsid w:val="4BC8308A"/>
    <w:rsid w:val="4BEF7875"/>
    <w:rsid w:val="4CB4349A"/>
    <w:rsid w:val="4DB37839"/>
    <w:rsid w:val="4E6D4DA5"/>
    <w:rsid w:val="4FC56086"/>
    <w:rsid w:val="50B46857"/>
    <w:rsid w:val="51C50B10"/>
    <w:rsid w:val="52E95B48"/>
    <w:rsid w:val="535C288C"/>
    <w:rsid w:val="53BF7E2B"/>
    <w:rsid w:val="54806F8C"/>
    <w:rsid w:val="54C34438"/>
    <w:rsid w:val="550347C5"/>
    <w:rsid w:val="55111B2A"/>
    <w:rsid w:val="55194A10"/>
    <w:rsid w:val="560E6E69"/>
    <w:rsid w:val="56756547"/>
    <w:rsid w:val="57336DF5"/>
    <w:rsid w:val="573C1CC2"/>
    <w:rsid w:val="587777E3"/>
    <w:rsid w:val="58846FE7"/>
    <w:rsid w:val="58D273D4"/>
    <w:rsid w:val="5B873C80"/>
    <w:rsid w:val="5C3F10CD"/>
    <w:rsid w:val="5C5315AD"/>
    <w:rsid w:val="5CC8148D"/>
    <w:rsid w:val="5CDD2189"/>
    <w:rsid w:val="5D496B43"/>
    <w:rsid w:val="5FC82F44"/>
    <w:rsid w:val="60451E2C"/>
    <w:rsid w:val="62CD0F8D"/>
    <w:rsid w:val="63B32525"/>
    <w:rsid w:val="63D42D01"/>
    <w:rsid w:val="64D44605"/>
    <w:rsid w:val="66E03C52"/>
    <w:rsid w:val="6706137C"/>
    <w:rsid w:val="673208DA"/>
    <w:rsid w:val="67C57B88"/>
    <w:rsid w:val="68092A31"/>
    <w:rsid w:val="6983772C"/>
    <w:rsid w:val="69E927C6"/>
    <w:rsid w:val="6A417029"/>
    <w:rsid w:val="6B160DE7"/>
    <w:rsid w:val="6B6A5B05"/>
    <w:rsid w:val="6CB42952"/>
    <w:rsid w:val="6CB44F64"/>
    <w:rsid w:val="6D191EB7"/>
    <w:rsid w:val="6DDB5DEA"/>
    <w:rsid w:val="6FC02034"/>
    <w:rsid w:val="70C11A75"/>
    <w:rsid w:val="70D90FCF"/>
    <w:rsid w:val="711A479E"/>
    <w:rsid w:val="711D3818"/>
    <w:rsid w:val="71BB4F85"/>
    <w:rsid w:val="72D37BE8"/>
    <w:rsid w:val="730F411E"/>
    <w:rsid w:val="75514BEB"/>
    <w:rsid w:val="772338A8"/>
    <w:rsid w:val="7822047E"/>
    <w:rsid w:val="79071F8D"/>
    <w:rsid w:val="7AE96229"/>
    <w:rsid w:val="7BA53631"/>
    <w:rsid w:val="7C0D0110"/>
    <w:rsid w:val="7DD80B3F"/>
    <w:rsid w:val="7E32377D"/>
    <w:rsid w:val="7E972638"/>
    <w:rsid w:val="7EBD29D4"/>
    <w:rsid w:val="7EF226E7"/>
    <w:rsid w:val="7EFB4FD8"/>
    <w:rsid w:val="7F3D476D"/>
    <w:rsid w:val="7F92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FollowedHyperlink"/>
    <w:basedOn w:val="6"/>
    <w:unhideWhenUsed/>
    <w:qFormat/>
    <w:uiPriority w:val="99"/>
    <w:rPr>
      <w:color w:val="000000"/>
      <w:u w:val="none"/>
    </w:rPr>
  </w:style>
  <w:style w:type="character" w:styleId="8">
    <w:name w:val="Hyperlink"/>
    <w:basedOn w:val="6"/>
    <w:unhideWhenUsed/>
    <w:qFormat/>
    <w:uiPriority w:val="99"/>
    <w:rPr>
      <w:color w:val="000000"/>
      <w:u w:val="none"/>
    </w:rPr>
  </w:style>
  <w:style w:type="character" w:customStyle="1" w:styleId="10">
    <w:name w:val="页眉 Char"/>
    <w:basedOn w:val="6"/>
    <w:link w:val="4"/>
    <w:qFormat/>
    <w:uiPriority w:val="99"/>
    <w:rPr>
      <w:sz w:val="18"/>
      <w:szCs w:val="18"/>
    </w:rPr>
  </w:style>
  <w:style w:type="character" w:customStyle="1" w:styleId="11">
    <w:name w:val="页脚 Char"/>
    <w:basedOn w:val="6"/>
    <w:link w:val="3"/>
    <w:qFormat/>
    <w:uiPriority w:val="99"/>
    <w:rPr>
      <w:sz w:val="18"/>
      <w:szCs w:val="18"/>
    </w:rPr>
  </w:style>
  <w:style w:type="paragraph" w:customStyle="1" w:styleId="12">
    <w:name w:val="List Paragraph"/>
    <w:basedOn w:val="1"/>
    <w:qFormat/>
    <w:uiPriority w:val="34"/>
    <w:pPr>
      <w:ind w:firstLine="420" w:firstLineChars="200"/>
    </w:pPr>
  </w:style>
  <w:style w:type="paragraph" w:customStyle="1" w:styleId="13">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14">
    <w:name w:val="apple-converted-space"/>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2446</Characters>
  <Lines>20</Lines>
  <Paragraphs>5</Paragraphs>
  <ScaleCrop>false</ScaleCrop>
  <LinksUpToDate>false</LinksUpToDate>
  <CharactersWithSpaces>2869</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2017-08-28T02:14:00Z</dcterms:created>
  <dc:creator>za b</dc:creator>
  <cp:lastModifiedBy>可乐加冰</cp:lastModifiedBy>
  <dcterms:modified xsi:type="dcterms:W3CDTF">2017-11-19T03:42:58Z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